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1F419A6A" w14:textId="673D468D" w:rsidR="000D68D2" w:rsidRPr="00111968" w:rsidRDefault="008B35E2" w:rsidP="00111968">
      <w:pPr>
        <w:pStyle w:val="Heading1"/>
      </w:pPr>
      <w:r>
        <w:t>Handou</w:t>
      </w:r>
      <w:r w:rsidR="00110217" w:rsidRPr="00692A45">
        <w:t xml:space="preserve">t </w:t>
      </w:r>
      <w:r w:rsidR="0090636D">
        <w:t>6</w:t>
      </w:r>
      <w:r w:rsidR="00110217" w:rsidRPr="00692A45">
        <w:t xml:space="preserve">: </w:t>
      </w:r>
      <w:r w:rsidR="0090636D">
        <w:t>Types and reasons for staff development</w:t>
      </w:r>
    </w:p>
    <w:p w14:paraId="3F870A9E" w14:textId="34C87520" w:rsidR="0090636D" w:rsidRPr="00111968" w:rsidRDefault="0090636D" w:rsidP="0090636D">
      <w:pPr>
        <w:spacing w:after="0" w:line="360" w:lineRule="auto"/>
        <w:textAlignment w:val="baseline"/>
        <w:rPr>
          <w:rFonts w:eastAsia="Arial" w:cs="Arial"/>
          <w:color w:val="000000" w:themeColor="text1"/>
          <w:szCs w:val="22"/>
          <w:lang w:eastAsia="en-GB"/>
        </w:rPr>
      </w:pP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t>Shadowing</w:t>
      </w:r>
      <w:bookmarkStart w:id="0" w:name="_GoBack"/>
      <w:bookmarkEnd w:id="0"/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br/>
      </w:r>
      <w:r w:rsidRPr="00111968">
        <w:rPr>
          <w:rFonts w:eastAsia="Arial" w:cs="Arial"/>
          <w:color w:val="000000" w:themeColor="text1"/>
          <w:szCs w:val="22"/>
          <w:lang w:eastAsia="en-GB"/>
        </w:rPr>
        <w:t xml:space="preserve">Shadowing is all about an employee observing someone doing a job and then trying to understand how it is done. This is a good, cost-effective training tool in providing a standardised approach that a business undertakes. </w:t>
      </w:r>
    </w:p>
    <w:p w14:paraId="094227AB" w14:textId="77777777" w:rsidR="00111968" w:rsidRPr="00111968" w:rsidRDefault="00111968" w:rsidP="0090636D">
      <w:pPr>
        <w:spacing w:after="0" w:line="360" w:lineRule="auto"/>
        <w:textAlignment w:val="baseline"/>
        <w:rPr>
          <w:rFonts w:ascii="Times New Roman" w:eastAsia="Times New Roman" w:hAnsi="Times New Roman"/>
          <w:szCs w:val="22"/>
          <w:lang w:eastAsia="en-GB"/>
        </w:rPr>
      </w:pPr>
    </w:p>
    <w:p w14:paraId="3AAF298A" w14:textId="49F872D5" w:rsidR="0090636D" w:rsidRPr="00111968" w:rsidRDefault="0090636D" w:rsidP="0090636D">
      <w:pPr>
        <w:spacing w:after="0" w:line="360" w:lineRule="auto"/>
        <w:textAlignment w:val="baseline"/>
        <w:rPr>
          <w:rFonts w:eastAsia="Arial" w:cs="Arial"/>
          <w:color w:val="000000" w:themeColor="text1"/>
          <w:szCs w:val="22"/>
          <w:lang w:eastAsia="en-GB"/>
        </w:rPr>
      </w:pP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t>Coaching/demonstrating</w:t>
      </w: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br/>
      </w:r>
      <w:r w:rsidRPr="00111968">
        <w:rPr>
          <w:rFonts w:eastAsia="Arial" w:cs="Arial"/>
          <w:color w:val="000000" w:themeColor="text1"/>
          <w:szCs w:val="22"/>
          <w:lang w:eastAsia="en-GB"/>
        </w:rPr>
        <w:t>An employee who is tasked with coaching/ demonstrating tasks to another, probably new, employee has many roles to fill. This includes demonstrating new skills, assessing and providing feedback, facilitating the training and acting as a role model. A good use of this techniques is when carrying out induction training.</w:t>
      </w:r>
    </w:p>
    <w:p w14:paraId="5B5A398F" w14:textId="77777777" w:rsidR="00111968" w:rsidRPr="00111968" w:rsidRDefault="00111968" w:rsidP="0090636D">
      <w:pPr>
        <w:spacing w:after="0" w:line="360" w:lineRule="auto"/>
        <w:textAlignment w:val="baseline"/>
        <w:rPr>
          <w:rFonts w:eastAsia="Arial" w:cs="Arial"/>
          <w:color w:val="000000" w:themeColor="text1"/>
          <w:szCs w:val="22"/>
          <w:lang w:eastAsia="en-GB"/>
        </w:rPr>
      </w:pPr>
    </w:p>
    <w:p w14:paraId="6CD95A50" w14:textId="2F5EF72C" w:rsidR="0090636D" w:rsidRPr="00111968" w:rsidRDefault="0090636D" w:rsidP="0090636D">
      <w:pPr>
        <w:spacing w:after="0" w:line="360" w:lineRule="auto"/>
        <w:textAlignment w:val="baseline"/>
        <w:rPr>
          <w:rFonts w:eastAsia="Arial" w:cs="Arial"/>
          <w:color w:val="000000" w:themeColor="text1"/>
          <w:szCs w:val="22"/>
          <w:lang w:eastAsia="en-GB"/>
        </w:rPr>
      </w:pP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t>Mentoring</w:t>
      </w: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br/>
      </w:r>
      <w:r w:rsidRPr="00111968">
        <w:rPr>
          <w:rFonts w:eastAsia="Arial" w:cs="Arial"/>
          <w:color w:val="000000" w:themeColor="text1"/>
          <w:szCs w:val="22"/>
          <w:lang w:eastAsia="en-GB"/>
        </w:rPr>
        <w:t>Mentoring is all about the person who the activity is aims at: the mentee. It is built around a relationship between the two people involved and, in a practical sense, the mentor is there to guide</w:t>
      </w:r>
      <w:r w:rsidR="008A662C" w:rsidRPr="00111968">
        <w:rPr>
          <w:rFonts w:eastAsia="Arial" w:cs="Arial"/>
          <w:color w:val="000000" w:themeColor="text1"/>
          <w:szCs w:val="22"/>
          <w:lang w:eastAsia="en-GB"/>
        </w:rPr>
        <w:t xml:space="preserve"> and advise</w:t>
      </w:r>
      <w:r w:rsidRPr="00111968">
        <w:rPr>
          <w:rFonts w:eastAsia="Arial" w:cs="Arial"/>
          <w:color w:val="000000" w:themeColor="text1"/>
          <w:szCs w:val="22"/>
          <w:lang w:eastAsia="en-GB"/>
        </w:rPr>
        <w:t xml:space="preserve"> the mentee without giving all the answers.</w:t>
      </w:r>
    </w:p>
    <w:p w14:paraId="693D0CC0" w14:textId="77777777" w:rsidR="00111968" w:rsidRPr="00111968" w:rsidRDefault="00111968" w:rsidP="0090636D">
      <w:pPr>
        <w:spacing w:after="0" w:line="360" w:lineRule="auto"/>
        <w:textAlignment w:val="baseline"/>
        <w:rPr>
          <w:rFonts w:ascii="Times New Roman" w:eastAsia="Times New Roman" w:hAnsi="Times New Roman"/>
          <w:szCs w:val="22"/>
          <w:lang w:eastAsia="en-GB"/>
        </w:rPr>
      </w:pPr>
    </w:p>
    <w:p w14:paraId="3A48F2AE" w14:textId="661F23AC" w:rsidR="0090636D" w:rsidRPr="00111968" w:rsidRDefault="0090636D" w:rsidP="0090636D">
      <w:pPr>
        <w:spacing w:after="0" w:line="360" w:lineRule="auto"/>
        <w:textAlignment w:val="baseline"/>
        <w:rPr>
          <w:rFonts w:eastAsia="Arial" w:cs="Arial"/>
          <w:color w:val="000000" w:themeColor="text1"/>
          <w:szCs w:val="22"/>
          <w:lang w:eastAsia="en-GB"/>
        </w:rPr>
      </w:pP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t>Qualifications</w:t>
      </w: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br/>
      </w:r>
      <w:r w:rsidRPr="00111968">
        <w:rPr>
          <w:rFonts w:eastAsia="Arial" w:cs="Arial"/>
          <w:color w:val="000000" w:themeColor="text1"/>
          <w:szCs w:val="22"/>
          <w:lang w:eastAsia="en-GB"/>
        </w:rPr>
        <w:t xml:space="preserve">The provision of qualifications is an essential tool in the development of chefs in a professional kitchen. This can be seen </w:t>
      </w:r>
      <w:r w:rsidR="008A662C" w:rsidRPr="00111968">
        <w:rPr>
          <w:rFonts w:eastAsia="Arial" w:cs="Arial"/>
          <w:color w:val="000000" w:themeColor="text1"/>
          <w:szCs w:val="22"/>
          <w:lang w:eastAsia="en-GB"/>
        </w:rPr>
        <w:t>across the industry</w:t>
      </w:r>
      <w:r w:rsidRPr="00111968">
        <w:rPr>
          <w:rFonts w:eastAsia="Arial" w:cs="Arial"/>
          <w:color w:val="000000" w:themeColor="text1"/>
          <w:szCs w:val="22"/>
          <w:lang w:eastAsia="en-GB"/>
        </w:rPr>
        <w:t>, with the focus on the delivery of apprenticeships as a mean</w:t>
      </w:r>
      <w:r w:rsidR="008A662C" w:rsidRPr="00111968">
        <w:rPr>
          <w:rFonts w:eastAsia="Arial" w:cs="Arial"/>
          <w:color w:val="000000" w:themeColor="text1"/>
          <w:szCs w:val="22"/>
          <w:lang w:eastAsia="en-GB"/>
        </w:rPr>
        <w:t>s</w:t>
      </w:r>
      <w:r w:rsidRPr="00111968">
        <w:rPr>
          <w:rFonts w:eastAsia="Arial" w:cs="Arial"/>
          <w:color w:val="000000" w:themeColor="text1"/>
          <w:szCs w:val="22"/>
          <w:lang w:eastAsia="en-GB"/>
        </w:rPr>
        <w:t xml:space="preserve"> to upgrade and upskill the workforce. Ideally suited to the </w:t>
      </w:r>
      <w:r w:rsidR="008A662C" w:rsidRPr="00111968">
        <w:rPr>
          <w:rFonts w:eastAsia="Arial" w:cs="Arial"/>
          <w:color w:val="000000" w:themeColor="text1"/>
          <w:szCs w:val="22"/>
          <w:lang w:eastAsia="en-GB"/>
        </w:rPr>
        <w:t>employees new to the industry</w:t>
      </w:r>
      <w:r w:rsidRPr="00111968">
        <w:rPr>
          <w:rFonts w:eastAsia="Arial" w:cs="Arial"/>
          <w:color w:val="000000" w:themeColor="text1"/>
          <w:szCs w:val="22"/>
          <w:lang w:eastAsia="en-GB"/>
        </w:rPr>
        <w:t>, in recent years it has been adapted to include the whole workforce</w:t>
      </w:r>
      <w:r w:rsidR="00111968" w:rsidRPr="00111968">
        <w:rPr>
          <w:rFonts w:eastAsia="Arial" w:cs="Arial"/>
          <w:color w:val="000000" w:themeColor="text1"/>
          <w:szCs w:val="22"/>
          <w:lang w:eastAsia="en-GB"/>
        </w:rPr>
        <w:t>.</w:t>
      </w:r>
    </w:p>
    <w:p w14:paraId="5F844734" w14:textId="77777777" w:rsidR="0090636D" w:rsidRPr="00111968" w:rsidRDefault="0090636D" w:rsidP="0090636D">
      <w:pPr>
        <w:spacing w:after="0" w:line="360" w:lineRule="auto"/>
        <w:textAlignment w:val="baseline"/>
        <w:rPr>
          <w:rFonts w:eastAsia="Arial" w:cs="Arial"/>
          <w:color w:val="000000" w:themeColor="text1"/>
          <w:szCs w:val="22"/>
          <w:lang w:eastAsia="en-GB"/>
        </w:rPr>
      </w:pPr>
    </w:p>
    <w:p w14:paraId="1B92C1D9" w14:textId="77777777" w:rsidR="0090636D" w:rsidRPr="00111968" w:rsidRDefault="0090636D" w:rsidP="0090636D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Cs w:val="22"/>
          <w:lang w:eastAsia="en-GB"/>
        </w:rPr>
      </w:pPr>
      <w:r w:rsidRPr="00111968">
        <w:rPr>
          <w:rFonts w:eastAsia="Arial" w:cs="Arial"/>
          <w:b/>
          <w:bCs/>
          <w:color w:val="000000" w:themeColor="text1"/>
          <w:szCs w:val="22"/>
          <w:lang w:eastAsia="en-GB"/>
        </w:rPr>
        <w:t>Reasons for developing staff</w:t>
      </w:r>
    </w:p>
    <w:p w14:paraId="682363FE" w14:textId="751B2162" w:rsidR="0090636D" w:rsidRPr="00111968" w:rsidRDefault="0090636D" w:rsidP="00111968">
      <w:pPr>
        <w:pStyle w:val="ListParagraph"/>
        <w:numPr>
          <w:ilvl w:val="0"/>
          <w:numId w:val="39"/>
        </w:numPr>
        <w:spacing w:line="360" w:lineRule="auto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>A workforce that is happy and content, with high morale and good retention figures. Less turnover means less costs associated with finding and training new staff</w:t>
      </w:r>
      <w:r w:rsidR="008A662C" w:rsidRPr="001119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0BFF006" w14:textId="53A87C56" w:rsidR="0090636D" w:rsidRPr="00111968" w:rsidRDefault="0090636D" w:rsidP="00111968">
      <w:pPr>
        <w:pStyle w:val="ListParagraph"/>
        <w:numPr>
          <w:ilvl w:val="0"/>
          <w:numId w:val="39"/>
        </w:numPr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>Staff feel valued as they feel the business is investing in them and providing opportunities to develop skills to progress in their careers</w:t>
      </w:r>
      <w:r w:rsidR="00111968" w:rsidRPr="001119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E67ED78" w14:textId="01B6DCF1" w:rsidR="0090636D" w:rsidRPr="00111968" w:rsidRDefault="0090636D" w:rsidP="00111968">
      <w:pPr>
        <w:pStyle w:val="ListParagraph"/>
        <w:numPr>
          <w:ilvl w:val="0"/>
          <w:numId w:val="39"/>
        </w:numPr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>Productivity is increased</w:t>
      </w:r>
      <w:r w:rsidR="008A662C" w:rsidRPr="00111968">
        <w:rPr>
          <w:rFonts w:ascii="Arial" w:eastAsia="Arial" w:hAnsi="Arial" w:cs="Arial"/>
          <w:color w:val="000000" w:themeColor="text1"/>
          <w:sz w:val="22"/>
          <w:szCs w:val="22"/>
        </w:rPr>
        <w:t xml:space="preserve"> and staff effectiveness is increased</w:t>
      </w: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A662C" w:rsidRPr="00111968">
        <w:rPr>
          <w:rFonts w:ascii="Arial" w:eastAsia="Arial" w:hAnsi="Arial" w:cs="Arial"/>
          <w:color w:val="000000" w:themeColor="text1"/>
          <w:sz w:val="22"/>
          <w:szCs w:val="22"/>
        </w:rPr>
        <w:t>whilst</w:t>
      </w: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 xml:space="preserve"> costs are reduced due to less wastage</w:t>
      </w:r>
      <w:r w:rsidR="00111968" w:rsidRPr="0011196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40E05E4" w14:textId="5F46BA07" w:rsidR="0090636D" w:rsidRPr="00111968" w:rsidRDefault="0090636D" w:rsidP="00111968">
      <w:pPr>
        <w:pStyle w:val="ListParagraph"/>
        <w:numPr>
          <w:ilvl w:val="0"/>
          <w:numId w:val="39"/>
        </w:numPr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A highly motivated and trained kitchen will meet, or even </w:t>
      </w:r>
      <w:r w:rsidR="008A662C" w:rsidRPr="00111968">
        <w:rPr>
          <w:rFonts w:ascii="Arial" w:eastAsia="Arial" w:hAnsi="Arial" w:cs="Arial"/>
          <w:color w:val="000000" w:themeColor="text1"/>
          <w:sz w:val="22"/>
          <w:szCs w:val="22"/>
        </w:rPr>
        <w:t>exceed</w:t>
      </w: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>, their customers’ expectations, increasing the customer base</w:t>
      </w:r>
      <w:r w:rsidR="00111968" w:rsidRPr="001119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904A185" w14:textId="375B8C64" w:rsidR="0090636D" w:rsidRPr="00111968" w:rsidRDefault="0090636D" w:rsidP="00111968">
      <w:pPr>
        <w:pStyle w:val="ListParagraph"/>
        <w:numPr>
          <w:ilvl w:val="0"/>
          <w:numId w:val="39"/>
        </w:numPr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>Increased customers base will increase turnover, which may then increase profits</w:t>
      </w:r>
      <w:r w:rsidR="00111968" w:rsidRPr="001119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1B52CCE" w14:textId="2F2D60DA" w:rsidR="0090636D" w:rsidRPr="00111968" w:rsidRDefault="0090636D" w:rsidP="00111968">
      <w:pPr>
        <w:pStyle w:val="ListParagraph"/>
        <w:numPr>
          <w:ilvl w:val="0"/>
          <w:numId w:val="39"/>
        </w:numPr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111968">
        <w:rPr>
          <w:rFonts w:ascii="Arial" w:eastAsia="Arial" w:hAnsi="Arial" w:cs="Arial"/>
          <w:color w:val="000000" w:themeColor="text1"/>
          <w:sz w:val="22"/>
          <w:szCs w:val="22"/>
        </w:rPr>
        <w:t>Increased profits may provide more money to keep training, looking for the continuous improvement.</w:t>
      </w:r>
    </w:p>
    <w:p w14:paraId="0E84AB3D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color w:val="000000" w:themeColor="text1"/>
          <w:sz w:val="24"/>
          <w:lang w:val="en-US"/>
        </w:rPr>
      </w:pPr>
    </w:p>
    <w:p w14:paraId="12A9F2D1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color w:val="000000" w:themeColor="text1"/>
          <w:sz w:val="24"/>
          <w:lang w:val="en-US"/>
        </w:rPr>
      </w:pPr>
    </w:p>
    <w:p w14:paraId="1CD5037C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color w:val="000000" w:themeColor="text1"/>
          <w:sz w:val="24"/>
          <w:lang w:val="en-US"/>
        </w:rPr>
      </w:pPr>
    </w:p>
    <w:p w14:paraId="32F3716E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color w:val="000000" w:themeColor="text1"/>
          <w:sz w:val="24"/>
          <w:lang w:val="en-US"/>
        </w:rPr>
      </w:pPr>
    </w:p>
    <w:p w14:paraId="40536A71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color w:val="000000" w:themeColor="text1"/>
          <w:sz w:val="24"/>
          <w:lang w:val="en-US"/>
        </w:rPr>
      </w:pPr>
    </w:p>
    <w:p w14:paraId="5B2756F4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color w:val="000000" w:themeColor="text1"/>
          <w:sz w:val="24"/>
          <w:lang w:val="en-US"/>
        </w:rPr>
      </w:pPr>
    </w:p>
    <w:p w14:paraId="0F3FA9AF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color w:val="000000" w:themeColor="text1"/>
          <w:sz w:val="24"/>
          <w:lang w:val="en-US"/>
        </w:rPr>
      </w:pPr>
    </w:p>
    <w:p w14:paraId="185D464A" w14:textId="77777777" w:rsidR="0090636D" w:rsidRPr="0090636D" w:rsidRDefault="0090636D" w:rsidP="0090636D">
      <w:pPr>
        <w:spacing w:after="0" w:line="360" w:lineRule="auto"/>
        <w:textAlignment w:val="baseline"/>
        <w:rPr>
          <w:rFonts w:cs="Arial"/>
          <w:color w:val="FF0000"/>
          <w:sz w:val="24"/>
        </w:rPr>
      </w:pPr>
    </w:p>
    <w:p w14:paraId="4D5E42B3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b/>
          <w:bCs/>
          <w:color w:val="000000" w:themeColor="text1"/>
          <w:sz w:val="24"/>
          <w:lang w:val="en-US"/>
        </w:rPr>
      </w:pPr>
    </w:p>
    <w:p w14:paraId="3431A13F" w14:textId="77777777" w:rsidR="0090636D" w:rsidRPr="0090636D" w:rsidRDefault="0090636D" w:rsidP="0090636D">
      <w:pPr>
        <w:spacing w:line="360" w:lineRule="auto"/>
        <w:textAlignment w:val="baseline"/>
        <w:rPr>
          <w:rFonts w:eastAsia="Arial" w:cs="Arial"/>
          <w:b/>
          <w:bCs/>
          <w:color w:val="000000" w:themeColor="text1"/>
          <w:sz w:val="24"/>
          <w:lang w:val="en-US"/>
        </w:rPr>
      </w:pPr>
    </w:p>
    <w:p w14:paraId="6F03CE04" w14:textId="77777777" w:rsidR="0090636D" w:rsidRPr="0090636D" w:rsidRDefault="0090636D" w:rsidP="0090636D">
      <w:pPr>
        <w:spacing w:line="360" w:lineRule="auto"/>
        <w:textAlignment w:val="baseline"/>
        <w:rPr>
          <w:rFonts w:cs="Arial"/>
          <w:b/>
          <w:bCs/>
          <w:color w:val="FF0000"/>
          <w:sz w:val="24"/>
        </w:rPr>
      </w:pPr>
    </w:p>
    <w:p w14:paraId="00037162" w14:textId="77777777" w:rsidR="0090636D" w:rsidRPr="0090636D" w:rsidRDefault="0090636D" w:rsidP="0090636D">
      <w:pPr>
        <w:tabs>
          <w:tab w:val="left" w:pos="3140"/>
        </w:tabs>
        <w:spacing w:after="0" w:line="360" w:lineRule="auto"/>
        <w:rPr>
          <w:rFonts w:eastAsia="Times New Roman" w:cs="Arial"/>
          <w:sz w:val="24"/>
        </w:rPr>
      </w:pPr>
    </w:p>
    <w:p w14:paraId="1F216EE1" w14:textId="77777777" w:rsidR="0090636D" w:rsidRPr="0090636D" w:rsidRDefault="0090636D" w:rsidP="0090636D">
      <w:pPr>
        <w:spacing w:before="120" w:after="0" w:line="360" w:lineRule="auto"/>
        <w:textAlignment w:val="baseline"/>
        <w:rPr>
          <w:rFonts w:ascii="Times New Roman" w:eastAsia="Times New Roman" w:hAnsi="Times New Roman"/>
          <w:sz w:val="24"/>
          <w:lang w:eastAsia="en-GB"/>
        </w:rPr>
      </w:pPr>
      <w:r w:rsidRPr="0090636D">
        <w:rPr>
          <w:rFonts w:eastAsia="Arial" w:cs="Arial"/>
          <w:color w:val="000000" w:themeColor="text1"/>
          <w:sz w:val="24"/>
          <w:lang w:eastAsia="en-GB"/>
        </w:rPr>
        <w:t xml:space="preserve"> </w:t>
      </w:r>
    </w:p>
    <w:p w14:paraId="32CD94F3" w14:textId="77777777" w:rsidR="000D68D2" w:rsidRPr="0090636D" w:rsidRDefault="000D68D2" w:rsidP="000D68D2">
      <w:pPr>
        <w:spacing w:line="360" w:lineRule="auto"/>
        <w:textAlignment w:val="baseline"/>
        <w:rPr>
          <w:rFonts w:eastAsia="Arial" w:cs="Arial"/>
          <w:b/>
          <w:bCs/>
          <w:color w:val="000000" w:themeColor="text1"/>
          <w:sz w:val="24"/>
          <w:lang w:val="en-US"/>
        </w:rPr>
      </w:pPr>
    </w:p>
    <w:p w14:paraId="13D7E9D9" w14:textId="77777777" w:rsidR="000D68D2" w:rsidRPr="0090636D" w:rsidRDefault="000D68D2" w:rsidP="000D68D2">
      <w:pPr>
        <w:spacing w:line="360" w:lineRule="auto"/>
        <w:textAlignment w:val="baseline"/>
        <w:rPr>
          <w:rFonts w:eastAsia="Arial" w:cs="Arial"/>
          <w:b/>
          <w:bCs/>
          <w:color w:val="000000" w:themeColor="text1"/>
          <w:sz w:val="24"/>
          <w:lang w:val="en-US"/>
        </w:rPr>
      </w:pPr>
    </w:p>
    <w:p w14:paraId="5D32ECD1" w14:textId="77777777" w:rsidR="000D68D2" w:rsidRPr="00F70151" w:rsidRDefault="000D68D2" w:rsidP="000D68D2">
      <w:pPr>
        <w:spacing w:line="360" w:lineRule="auto"/>
        <w:textAlignment w:val="baseline"/>
        <w:rPr>
          <w:rFonts w:cs="Arial"/>
          <w:b/>
          <w:bCs/>
          <w:color w:val="FF0000"/>
        </w:rPr>
      </w:pPr>
    </w:p>
    <w:p w14:paraId="05B3F69B" w14:textId="77777777" w:rsidR="000D68D2" w:rsidRPr="00F70151" w:rsidRDefault="000D68D2" w:rsidP="000D68D2">
      <w:pPr>
        <w:tabs>
          <w:tab w:val="left" w:pos="3140"/>
        </w:tabs>
        <w:spacing w:after="0" w:line="360" w:lineRule="auto"/>
        <w:rPr>
          <w:rFonts w:eastAsia="Times New Roman" w:cs="Arial"/>
        </w:rPr>
      </w:pPr>
    </w:p>
    <w:p w14:paraId="64084244" w14:textId="77777777" w:rsidR="000D68D2" w:rsidRPr="00E935A0" w:rsidRDefault="000D68D2" w:rsidP="000D68D2">
      <w:pPr>
        <w:spacing w:before="120" w:after="0" w:line="360" w:lineRule="auto"/>
        <w:textAlignment w:val="baseline"/>
        <w:rPr>
          <w:rFonts w:ascii="Times New Roman" w:eastAsia="Times New Roman" w:hAnsi="Times New Roman"/>
          <w:lang w:eastAsia="en-GB"/>
        </w:rPr>
      </w:pPr>
      <w:r w:rsidRPr="0074343A">
        <w:rPr>
          <w:rFonts w:eastAsia="Arial" w:cs="Arial"/>
          <w:color w:val="000000" w:themeColor="text1"/>
          <w:lang w:eastAsia="en-GB"/>
        </w:rPr>
        <w:t xml:space="preserve"> </w:t>
      </w:r>
    </w:p>
    <w:p w14:paraId="1229AC6E" w14:textId="658823D2" w:rsidR="000D68D2" w:rsidRPr="002002A4" w:rsidRDefault="000D68D2" w:rsidP="000D68D2">
      <w:pPr>
        <w:pStyle w:val="NormalWeb"/>
        <w:spacing w:before="120" w:beforeAutospacing="0" w:after="0" w:afterAutospacing="0" w:line="360" w:lineRule="auto"/>
        <w:textAlignment w:val="baseline"/>
      </w:pPr>
    </w:p>
    <w:p w14:paraId="2FA6B012" w14:textId="6DF49E42" w:rsidR="00CB07BD" w:rsidRPr="002002A4" w:rsidRDefault="00CB07BD" w:rsidP="000F620F">
      <w:pPr>
        <w:spacing w:before="120" w:after="0" w:line="360" w:lineRule="auto"/>
        <w:textAlignment w:val="baseline"/>
        <w:rPr>
          <w:rFonts w:ascii="Times New Roman" w:eastAsia="Times New Roman" w:hAnsi="Times New Roman"/>
          <w:lang w:eastAsia="en-GB"/>
        </w:rPr>
      </w:pPr>
    </w:p>
    <w:sectPr w:rsidR="00CB07BD" w:rsidRPr="002002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9424" w14:textId="77777777" w:rsidR="005C048C" w:rsidRDefault="005C048C">
      <w:pPr>
        <w:spacing w:before="0" w:after="0"/>
      </w:pPr>
      <w:r>
        <w:separator/>
      </w:r>
    </w:p>
  </w:endnote>
  <w:endnote w:type="continuationSeparator" w:id="0">
    <w:p w14:paraId="474BC51D" w14:textId="77777777" w:rsidR="005C048C" w:rsidRDefault="005C04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71719C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1196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C048C">
                                  <w:fldChar w:fldCharType="begin"/>
                                </w:r>
                                <w:r w:rsidR="005C048C">
                                  <w:instrText xml:space="preserve"> NUMPAGES   \* MERGEFORMAT </w:instrText>
                                </w:r>
                                <w:r w:rsidR="005C048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C048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71719C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1196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C048C">
                            <w:fldChar w:fldCharType="begin"/>
                          </w:r>
                          <w:r w:rsidR="005C048C">
                            <w:instrText xml:space="preserve"> NUMPAGES   \* MERGEFORMAT </w:instrText>
                          </w:r>
                          <w:r w:rsidR="005C048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C048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A3EE" w14:textId="77777777" w:rsidR="005C048C" w:rsidRDefault="005C048C">
      <w:pPr>
        <w:spacing w:before="0" w:after="0"/>
      </w:pPr>
      <w:r>
        <w:separator/>
      </w:r>
    </w:p>
  </w:footnote>
  <w:footnote w:type="continuationSeparator" w:id="0">
    <w:p w14:paraId="64A4EE56" w14:textId="77777777" w:rsidR="005C048C" w:rsidRDefault="005C04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371FDCB8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293D81B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0636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371FDCB8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293D81B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0636D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E73"/>
    <w:multiLevelType w:val="hybridMultilevel"/>
    <w:tmpl w:val="8F8203A4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C3F"/>
    <w:multiLevelType w:val="hybridMultilevel"/>
    <w:tmpl w:val="9A04F232"/>
    <w:lvl w:ilvl="0" w:tplc="FE24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8D112"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2" w:tplc="20666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C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68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0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51687"/>
    <w:multiLevelType w:val="hybridMultilevel"/>
    <w:tmpl w:val="C1A2D5E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8"/>
  </w:num>
  <w:num w:numId="6">
    <w:abstractNumId w:val="18"/>
  </w:num>
  <w:num w:numId="7">
    <w:abstractNumId w:val="8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5"/>
  </w:num>
  <w:num w:numId="18">
    <w:abstractNumId w:val="26"/>
  </w:num>
  <w:num w:numId="19">
    <w:abstractNumId w:val="4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4"/>
  </w:num>
  <w:num w:numId="24">
    <w:abstractNumId w:val="11"/>
    <w:lvlOverride w:ilvl="0">
      <w:startOverride w:val="1"/>
    </w:lvlOverride>
  </w:num>
  <w:num w:numId="25">
    <w:abstractNumId w:val="10"/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6"/>
  </w:num>
  <w:num w:numId="36">
    <w:abstractNumId w:val="0"/>
  </w:num>
  <w:num w:numId="37">
    <w:abstractNumId w:val="9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D68D2"/>
    <w:rsid w:val="000E194B"/>
    <w:rsid w:val="000F25C5"/>
    <w:rsid w:val="000F620F"/>
    <w:rsid w:val="00110217"/>
    <w:rsid w:val="00111968"/>
    <w:rsid w:val="00136B1A"/>
    <w:rsid w:val="001579CA"/>
    <w:rsid w:val="001B2060"/>
    <w:rsid w:val="002002A4"/>
    <w:rsid w:val="00265C73"/>
    <w:rsid w:val="002B51FC"/>
    <w:rsid w:val="00310237"/>
    <w:rsid w:val="00315240"/>
    <w:rsid w:val="003E0319"/>
    <w:rsid w:val="003F6DC3"/>
    <w:rsid w:val="00404B31"/>
    <w:rsid w:val="004578AA"/>
    <w:rsid w:val="0046159B"/>
    <w:rsid w:val="00465F81"/>
    <w:rsid w:val="0048082C"/>
    <w:rsid w:val="00564B7C"/>
    <w:rsid w:val="00594E6C"/>
    <w:rsid w:val="005C048C"/>
    <w:rsid w:val="00641004"/>
    <w:rsid w:val="00692A45"/>
    <w:rsid w:val="006D4994"/>
    <w:rsid w:val="00716399"/>
    <w:rsid w:val="00716647"/>
    <w:rsid w:val="0075707B"/>
    <w:rsid w:val="00764298"/>
    <w:rsid w:val="007755B7"/>
    <w:rsid w:val="007C1199"/>
    <w:rsid w:val="007F5E5F"/>
    <w:rsid w:val="00811B38"/>
    <w:rsid w:val="00884508"/>
    <w:rsid w:val="008A662C"/>
    <w:rsid w:val="008B35E2"/>
    <w:rsid w:val="008C0CE4"/>
    <w:rsid w:val="0090636D"/>
    <w:rsid w:val="00911FC4"/>
    <w:rsid w:val="00933132"/>
    <w:rsid w:val="00984527"/>
    <w:rsid w:val="009E752E"/>
    <w:rsid w:val="00A36D7E"/>
    <w:rsid w:val="00A3709F"/>
    <w:rsid w:val="00AA27C7"/>
    <w:rsid w:val="00AB07CA"/>
    <w:rsid w:val="00AF63EB"/>
    <w:rsid w:val="00B61062"/>
    <w:rsid w:val="00B64B88"/>
    <w:rsid w:val="00B840A0"/>
    <w:rsid w:val="00BD360B"/>
    <w:rsid w:val="00BD5425"/>
    <w:rsid w:val="00C01D20"/>
    <w:rsid w:val="00C336C2"/>
    <w:rsid w:val="00C43646"/>
    <w:rsid w:val="00C668ED"/>
    <w:rsid w:val="00CA721C"/>
    <w:rsid w:val="00CB07BD"/>
    <w:rsid w:val="00E47C55"/>
    <w:rsid w:val="00E92FB0"/>
    <w:rsid w:val="00EA2AF4"/>
    <w:rsid w:val="00EC5999"/>
    <w:rsid w:val="00F80BD6"/>
    <w:rsid w:val="00F903B5"/>
    <w:rsid w:val="00FB65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D68D2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4615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15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15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2020-04-27T21:27:00Z</dcterms:created>
  <dcterms:modified xsi:type="dcterms:W3CDTF">2020-04-27T21:27:00Z</dcterms:modified>
</cp:coreProperties>
</file>