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2CD3A" w14:textId="77777777" w:rsidR="001E4132" w:rsidRDefault="001E4132" w:rsidP="001E4132">
      <w:pPr>
        <w:pStyle w:val="NormalWeb"/>
        <w:shd w:val="clear" w:color="auto" w:fill="FFFFFF"/>
        <w:spacing w:before="0" w:beforeAutospacing="0" w:after="0" w:afterAutospacing="0"/>
        <w:rPr>
          <w:rFonts w:ascii="Arial" w:hAnsi="Arial" w:cs="Arial"/>
          <w:b/>
          <w:sz w:val="28"/>
          <w:szCs w:val="28"/>
          <w:shd w:val="clear" w:color="auto" w:fill="FFFFFF"/>
        </w:rPr>
      </w:pPr>
      <w:bookmarkStart w:id="0" w:name="_GoBack"/>
      <w:bookmarkEnd w:id="0"/>
    </w:p>
    <w:p w14:paraId="60F2CD3B" w14:textId="77777777" w:rsidR="001E4132" w:rsidRDefault="001E4132" w:rsidP="001E4132">
      <w:pPr>
        <w:pStyle w:val="NormalWeb"/>
        <w:shd w:val="clear" w:color="auto" w:fill="FFFFFF"/>
        <w:spacing w:before="0" w:beforeAutospacing="0" w:after="0" w:afterAutospacing="0"/>
      </w:pPr>
      <w:r w:rsidRPr="008F2C75">
        <w:rPr>
          <w:b/>
          <w:noProof/>
          <w:color w:val="44546A" w:themeColor="text2"/>
          <w:u w:val="single"/>
        </w:rPr>
        <mc:AlternateContent>
          <mc:Choice Requires="wps">
            <w:drawing>
              <wp:anchor distT="45720" distB="45720" distL="114300" distR="114300" simplePos="0" relativeHeight="251662336" behindDoc="0" locked="0" layoutInCell="1" allowOverlap="1" wp14:anchorId="60F2CD52" wp14:editId="60F2CD53">
                <wp:simplePos x="0" y="0"/>
                <wp:positionH relativeFrom="margin">
                  <wp:posOffset>-267970</wp:posOffset>
                </wp:positionH>
                <wp:positionV relativeFrom="paragraph">
                  <wp:posOffset>2540</wp:posOffset>
                </wp:positionV>
                <wp:extent cx="3419475" cy="414020"/>
                <wp:effectExtent l="0" t="0" r="2857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14020"/>
                        </a:xfrm>
                        <a:prstGeom prst="flowChartAlternateProcess">
                          <a:avLst/>
                        </a:prstGeom>
                        <a:solidFill>
                          <a:schemeClr val="accent5">
                            <a:lumMod val="75000"/>
                          </a:schemeClr>
                        </a:solidFill>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60F2CD5C" w14:textId="77777777" w:rsidR="001E4132" w:rsidRPr="00176AA1" w:rsidRDefault="001E4132" w:rsidP="001E4132">
                            <w:pPr>
                              <w:pStyle w:val="DeptBullets"/>
                              <w:numPr>
                                <w:ilvl w:val="0"/>
                                <w:numId w:val="0"/>
                              </w:numPr>
                              <w:jc w:val="center"/>
                              <w:rPr>
                                <w:rFonts w:cs="Arial"/>
                                <w:b/>
                                <w:color w:val="FFFFFF" w:themeColor="background1"/>
                                <w:sz w:val="32"/>
                                <w:szCs w:val="32"/>
                              </w:rPr>
                            </w:pPr>
                            <w:r w:rsidRPr="00176AA1">
                              <w:rPr>
                                <w:rFonts w:cs="Arial"/>
                                <w:b/>
                                <w:color w:val="FFFFFF" w:themeColor="background1"/>
                                <w:sz w:val="32"/>
                                <w:szCs w:val="32"/>
                              </w:rPr>
                              <w:t>Early Years Worker</w:t>
                            </w:r>
                            <w:r>
                              <w:rPr>
                                <w:rFonts w:cs="Arial"/>
                                <w:b/>
                                <w:color w:val="FFFFFF" w:themeColor="background1"/>
                                <w:sz w:val="32"/>
                                <w:szCs w:val="32"/>
                              </w:rPr>
                              <w:t xml:space="preserve"> (</w:t>
                            </w:r>
                            <w:r w:rsidRPr="00176AA1">
                              <w:rPr>
                                <w:b/>
                                <w:color w:val="FFFFFF" w:themeColor="background1"/>
                                <w:sz w:val="32"/>
                                <w:szCs w:val="32"/>
                              </w:rPr>
                              <w:t>Unqualified</w:t>
                            </w:r>
                            <w:r>
                              <w:rPr>
                                <w:b/>
                                <w:color w:val="FFFFFF" w:themeColor="background1"/>
                                <w:sz w:val="32"/>
                                <w:szCs w:val="32"/>
                              </w:rPr>
                              <w:t>)</w:t>
                            </w:r>
                          </w:p>
                          <w:p w14:paraId="60F2CD5D" w14:textId="77777777" w:rsidR="001E4132" w:rsidRDefault="001E4132" w:rsidP="001E413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2CD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margin-left:-21.1pt;margin-top:.2pt;width:269.25pt;height:3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" fillcolor="#2f5496 [2408]" strokecolor="#2f5496 [2408]" strokeweight="1pt">
                <v:textbox>
                  <w:txbxContent>
                    <w:p w14:paraId="60F2CD5C" w14:textId="77777777" w:rsidR="001E4132" w:rsidRPr="00176AA1" w:rsidRDefault="001E4132" w:rsidP="001E4132">
                      <w:pPr>
                        <w:pStyle w:val="DeptBullets"/>
                        <w:numPr>
                          <w:ilvl w:val="0"/>
                          <w:numId w:val="0"/>
                        </w:numPr>
                        <w:jc w:val="center"/>
                        <w:rPr>
                          <w:rFonts w:cs="Arial"/>
                          <w:b/>
                          <w:color w:val="FFFFFF" w:themeColor="background1"/>
                          <w:sz w:val="32"/>
                          <w:szCs w:val="32"/>
                        </w:rPr>
                      </w:pPr>
                      <w:r w:rsidRPr="00176AA1">
                        <w:rPr>
                          <w:rFonts w:cs="Arial"/>
                          <w:b/>
                          <w:color w:val="FFFFFF" w:themeColor="background1"/>
                          <w:sz w:val="32"/>
                          <w:szCs w:val="32"/>
                        </w:rPr>
                        <w:t>Early Years Worker</w:t>
                      </w:r>
                      <w:r>
                        <w:rPr>
                          <w:rFonts w:cs="Arial"/>
                          <w:b/>
                          <w:color w:val="FFFFFF" w:themeColor="background1"/>
                          <w:sz w:val="32"/>
                          <w:szCs w:val="32"/>
                        </w:rPr>
                        <w:t xml:space="preserve"> (</w:t>
                      </w:r>
                      <w:r w:rsidRPr="00176AA1">
                        <w:rPr>
                          <w:b/>
                          <w:color w:val="FFFFFF" w:themeColor="background1"/>
                          <w:sz w:val="32"/>
                          <w:szCs w:val="32"/>
                        </w:rPr>
                        <w:t>Unqualified</w:t>
                      </w:r>
                      <w:r>
                        <w:rPr>
                          <w:b/>
                          <w:color w:val="FFFFFF" w:themeColor="background1"/>
                          <w:sz w:val="32"/>
                          <w:szCs w:val="32"/>
                        </w:rPr>
                        <w:t>)</w:t>
                      </w:r>
                    </w:p>
                    <w:p w14:paraId="60F2CD5D" w14:textId="77777777" w:rsidR="001E4132" w:rsidRDefault="001E4132" w:rsidP="001E4132">
                      <w:pPr>
                        <w:jc w:val="center"/>
                      </w:pPr>
                    </w:p>
                  </w:txbxContent>
                </v:textbox>
                <w10:wrap type="square" anchorx="margin"/>
              </v:shape>
            </w:pict>
          </mc:Fallback>
        </mc:AlternateContent>
      </w:r>
      <w:r w:rsidRPr="008F2C75">
        <w:rPr>
          <w:b/>
          <w:noProof/>
          <w:color w:val="44546A" w:themeColor="text2"/>
          <w:u w:val="single"/>
        </w:rPr>
        <mc:AlternateContent>
          <mc:Choice Requires="wps">
            <w:drawing>
              <wp:anchor distT="45720" distB="45720" distL="114300" distR="114300" simplePos="0" relativeHeight="251659264" behindDoc="0" locked="0" layoutInCell="1" allowOverlap="1" wp14:anchorId="60F2CD54" wp14:editId="60F2CD55">
                <wp:simplePos x="0" y="0"/>
                <wp:positionH relativeFrom="column">
                  <wp:posOffset>-303530</wp:posOffset>
                </wp:positionH>
                <wp:positionV relativeFrom="paragraph">
                  <wp:posOffset>362585</wp:posOffset>
                </wp:positionV>
                <wp:extent cx="7186295" cy="2421890"/>
                <wp:effectExtent l="0" t="0" r="1460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6295" cy="2421890"/>
                        </a:xfrm>
                        <a:prstGeom prst="flowChartAlternateProcess">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60F2CD5E" w14:textId="77777777" w:rsidR="001E4132" w:rsidRPr="008007B9" w:rsidRDefault="001E4132" w:rsidP="001E4132">
                            <w:pPr>
                              <w:widowControl/>
                              <w:overflowPunct/>
                              <w:autoSpaceDE/>
                              <w:autoSpaceDN/>
                              <w:adjustRightInd/>
                              <w:spacing w:after="160" w:line="256" w:lineRule="auto"/>
                              <w:textAlignment w:val="auto"/>
                              <w:rPr>
                                <w:b/>
                                <w:sz w:val="22"/>
                                <w:szCs w:val="22"/>
                              </w:rPr>
                            </w:pPr>
                            <w:r w:rsidRPr="008007B9">
                              <w:rPr>
                                <w:rFonts w:cs="Arial"/>
                                <w:b/>
                                <w:sz w:val="22"/>
                                <w:szCs w:val="22"/>
                              </w:rPr>
                              <w:t xml:space="preserve">You can work in early education and childcare without a qualification, but you may have </w:t>
                            </w:r>
                            <w:r w:rsidRPr="008007B9">
                              <w:rPr>
                                <w:b/>
                                <w:sz w:val="22"/>
                                <w:szCs w:val="22"/>
                              </w:rPr>
                              <w:t xml:space="preserve">transferable knowledge and skills from previous work, experiences and learning. </w:t>
                            </w:r>
                            <w:r w:rsidRPr="008007B9">
                              <w:rPr>
                                <w:rFonts w:cs="Arial"/>
                                <w:b/>
                                <w:sz w:val="22"/>
                                <w:szCs w:val="22"/>
                              </w:rPr>
                              <w:t>You can also work as a volunteer.</w:t>
                            </w:r>
                          </w:p>
                          <w:p w14:paraId="60F2CD5F" w14:textId="77777777" w:rsidR="001E4132" w:rsidRPr="008007B9" w:rsidRDefault="001E4132" w:rsidP="001E4132">
                            <w:pPr>
                              <w:pStyle w:val="DeptBullets"/>
                              <w:numPr>
                                <w:ilvl w:val="0"/>
                                <w:numId w:val="0"/>
                              </w:numPr>
                              <w:rPr>
                                <w:rFonts w:cs="Arial"/>
                                <w:sz w:val="22"/>
                                <w:szCs w:val="22"/>
                              </w:rPr>
                            </w:pPr>
                            <w:r w:rsidRPr="008007B9">
                              <w:rPr>
                                <w:rFonts w:cs="Arial"/>
                                <w:sz w:val="22"/>
                                <w:szCs w:val="22"/>
                              </w:rPr>
                              <w:t>In this job role you are likely to:</w:t>
                            </w:r>
                          </w:p>
                          <w:p w14:paraId="60F2CD60" w14:textId="77777777" w:rsidR="001E4132" w:rsidRPr="008007B9" w:rsidRDefault="001E4132" w:rsidP="001E4132">
                            <w:pPr>
                              <w:pStyle w:val="ListParagraph"/>
                              <w:numPr>
                                <w:ilvl w:val="0"/>
                                <w:numId w:val="2"/>
                              </w:numPr>
                              <w:rPr>
                                <w:sz w:val="22"/>
                                <w:szCs w:val="22"/>
                              </w:rPr>
                            </w:pPr>
                            <w:r w:rsidRPr="008007B9">
                              <w:rPr>
                                <w:sz w:val="22"/>
                                <w:szCs w:val="22"/>
                              </w:rPr>
                              <w:t xml:space="preserve">Work under supervision with experienced practitioners.  </w:t>
                            </w:r>
                          </w:p>
                          <w:p w14:paraId="60F2CD61" w14:textId="77777777" w:rsidR="001E4132" w:rsidRPr="007C2D6B" w:rsidRDefault="001E4132" w:rsidP="001E4132">
                            <w:pPr>
                              <w:pStyle w:val="ListParagraph"/>
                              <w:numPr>
                                <w:ilvl w:val="0"/>
                                <w:numId w:val="2"/>
                              </w:numPr>
                              <w:rPr>
                                <w:sz w:val="22"/>
                                <w:szCs w:val="22"/>
                              </w:rPr>
                            </w:pPr>
                            <w:r w:rsidRPr="008007B9">
                              <w:rPr>
                                <w:sz w:val="22"/>
                                <w:szCs w:val="22"/>
                              </w:rPr>
                              <w:t xml:space="preserve">Support experienced practitioners to provide care routines </w:t>
                            </w:r>
                            <w:r>
                              <w:rPr>
                                <w:sz w:val="22"/>
                                <w:szCs w:val="22"/>
                              </w:rPr>
                              <w:t>and deliver educational play opportunities/activities that enable children to explore and develop.</w:t>
                            </w:r>
                          </w:p>
                          <w:p w14:paraId="60F2CD62" w14:textId="77777777" w:rsidR="001E4132" w:rsidRPr="008007B9" w:rsidRDefault="001E4132" w:rsidP="001E4132">
                            <w:pPr>
                              <w:pStyle w:val="ListParagraph"/>
                              <w:numPr>
                                <w:ilvl w:val="0"/>
                                <w:numId w:val="2"/>
                              </w:numPr>
                              <w:rPr>
                                <w:sz w:val="22"/>
                                <w:szCs w:val="22"/>
                              </w:rPr>
                            </w:pPr>
                            <w:r w:rsidRPr="008007B9">
                              <w:rPr>
                                <w:rFonts w:cs="Arial"/>
                                <w:sz w:val="22"/>
                                <w:szCs w:val="22"/>
                                <w:shd w:val="clear" w:color="auto" w:fill="FFFFFF"/>
                              </w:rPr>
                              <w:t xml:space="preserve">Deal with different kinds of behaviours, needs and wants as each child is unique </w:t>
                            </w:r>
                          </w:p>
                          <w:p w14:paraId="60F2CD63" w14:textId="77777777" w:rsidR="001E4132" w:rsidRPr="008007B9" w:rsidRDefault="001E4132" w:rsidP="001E4132">
                            <w:pPr>
                              <w:pStyle w:val="ListParagraph"/>
                              <w:numPr>
                                <w:ilvl w:val="0"/>
                                <w:numId w:val="2"/>
                              </w:numPr>
                              <w:rPr>
                                <w:sz w:val="22"/>
                                <w:szCs w:val="22"/>
                              </w:rPr>
                            </w:pPr>
                            <w:r w:rsidRPr="008007B9">
                              <w:rPr>
                                <w:rFonts w:cs="Arial"/>
                                <w:sz w:val="22"/>
                                <w:szCs w:val="22"/>
                                <w:shd w:val="clear" w:color="auto" w:fill="FFFFFF"/>
                              </w:rPr>
                              <w:t xml:space="preserve">Observe how each child learns differently and, with your support, learn how experienced practitioners structure play activities to ensure that learning opportunities are maximised.   </w:t>
                            </w:r>
                          </w:p>
                          <w:p w14:paraId="60F2CD64" w14:textId="77777777" w:rsidR="001E4132" w:rsidRPr="008007B9" w:rsidRDefault="001E4132" w:rsidP="001E413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2CD54" id="_x0000_s1027" type="#_x0000_t176" style="position:absolute;margin-left:-23.9pt;margin-top:28.55pt;width:565.85pt;height:19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" fillcolor="white [3201]" strokecolor="#2f5496 [2408]" strokeweight="1pt">
                <v:textbox>
                  <w:txbxContent>
                    <w:p w14:paraId="60F2CD5E" w14:textId="77777777" w:rsidR="001E4132" w:rsidRPr="008007B9" w:rsidRDefault="001E4132" w:rsidP="001E4132">
                      <w:pPr>
                        <w:widowControl/>
                        <w:overflowPunct/>
                        <w:autoSpaceDE/>
                        <w:autoSpaceDN/>
                        <w:adjustRightInd/>
                        <w:spacing w:after="160" w:line="256" w:lineRule="auto"/>
                        <w:textAlignment w:val="auto"/>
                        <w:rPr>
                          <w:b/>
                          <w:sz w:val="22"/>
                          <w:szCs w:val="22"/>
                        </w:rPr>
                      </w:pPr>
                      <w:r w:rsidRPr="008007B9">
                        <w:rPr>
                          <w:rFonts w:cs="Arial"/>
                          <w:b/>
                          <w:sz w:val="22"/>
                          <w:szCs w:val="22"/>
                        </w:rPr>
                        <w:t xml:space="preserve">You can work in early education and childcare without a qualification, but you may have </w:t>
                      </w:r>
                      <w:r w:rsidRPr="008007B9">
                        <w:rPr>
                          <w:b/>
                          <w:sz w:val="22"/>
                          <w:szCs w:val="22"/>
                        </w:rPr>
                        <w:t xml:space="preserve">transferable knowledge and skills from previous work, experiences and learning. </w:t>
                      </w:r>
                      <w:r w:rsidRPr="008007B9">
                        <w:rPr>
                          <w:rFonts w:cs="Arial"/>
                          <w:b/>
                          <w:sz w:val="22"/>
                          <w:szCs w:val="22"/>
                        </w:rPr>
                        <w:t>You can also work as a volunteer.</w:t>
                      </w:r>
                    </w:p>
                    <w:p w14:paraId="60F2CD5F" w14:textId="77777777" w:rsidR="001E4132" w:rsidRPr="008007B9" w:rsidRDefault="001E4132" w:rsidP="001E4132">
                      <w:pPr>
                        <w:pStyle w:val="DeptBullets"/>
                        <w:numPr>
                          <w:ilvl w:val="0"/>
                          <w:numId w:val="0"/>
                        </w:numPr>
                        <w:rPr>
                          <w:rFonts w:cs="Arial"/>
                          <w:sz w:val="22"/>
                          <w:szCs w:val="22"/>
                        </w:rPr>
                      </w:pPr>
                      <w:r w:rsidRPr="008007B9">
                        <w:rPr>
                          <w:rFonts w:cs="Arial"/>
                          <w:sz w:val="22"/>
                          <w:szCs w:val="22"/>
                        </w:rPr>
                        <w:t>In this job role you are likely to:</w:t>
                      </w:r>
                    </w:p>
                    <w:p w14:paraId="60F2CD60" w14:textId="77777777" w:rsidR="001E4132" w:rsidRPr="008007B9" w:rsidRDefault="001E4132" w:rsidP="001E4132">
                      <w:pPr>
                        <w:pStyle w:val="ListParagraph"/>
                        <w:numPr>
                          <w:ilvl w:val="0"/>
                          <w:numId w:val="2"/>
                        </w:numPr>
                        <w:rPr>
                          <w:sz w:val="22"/>
                          <w:szCs w:val="22"/>
                        </w:rPr>
                      </w:pPr>
                      <w:r w:rsidRPr="008007B9">
                        <w:rPr>
                          <w:sz w:val="22"/>
                          <w:szCs w:val="22"/>
                        </w:rPr>
                        <w:t xml:space="preserve">Work under supervision with experienced practitioners.  </w:t>
                      </w:r>
                    </w:p>
                    <w:p w14:paraId="60F2CD61" w14:textId="77777777" w:rsidR="001E4132" w:rsidRPr="007C2D6B" w:rsidRDefault="001E4132" w:rsidP="001E4132">
                      <w:pPr>
                        <w:pStyle w:val="ListParagraph"/>
                        <w:numPr>
                          <w:ilvl w:val="0"/>
                          <w:numId w:val="2"/>
                        </w:numPr>
                        <w:rPr>
                          <w:sz w:val="22"/>
                          <w:szCs w:val="22"/>
                        </w:rPr>
                      </w:pPr>
                      <w:r w:rsidRPr="008007B9">
                        <w:rPr>
                          <w:sz w:val="22"/>
                          <w:szCs w:val="22"/>
                        </w:rPr>
                        <w:t xml:space="preserve">Support experienced practitioners to provide care routines </w:t>
                      </w:r>
                      <w:r>
                        <w:rPr>
                          <w:sz w:val="22"/>
                          <w:szCs w:val="22"/>
                        </w:rPr>
                        <w:t>and deliver educational play opportunities/activities that enable children to explore and develop.</w:t>
                      </w:r>
                    </w:p>
                    <w:p w14:paraId="60F2CD62" w14:textId="77777777" w:rsidR="001E4132" w:rsidRPr="008007B9" w:rsidRDefault="001E4132" w:rsidP="001E4132">
                      <w:pPr>
                        <w:pStyle w:val="ListParagraph"/>
                        <w:numPr>
                          <w:ilvl w:val="0"/>
                          <w:numId w:val="2"/>
                        </w:numPr>
                        <w:rPr>
                          <w:sz w:val="22"/>
                          <w:szCs w:val="22"/>
                        </w:rPr>
                      </w:pPr>
                      <w:r w:rsidRPr="008007B9">
                        <w:rPr>
                          <w:rFonts w:cs="Arial"/>
                          <w:sz w:val="22"/>
                          <w:szCs w:val="22"/>
                          <w:shd w:val="clear" w:color="auto" w:fill="FFFFFF"/>
                        </w:rPr>
                        <w:t xml:space="preserve">Deal with different kinds of behaviours, needs and wants as each child is unique </w:t>
                      </w:r>
                    </w:p>
                    <w:p w14:paraId="60F2CD63" w14:textId="77777777" w:rsidR="001E4132" w:rsidRPr="008007B9" w:rsidRDefault="001E4132" w:rsidP="001E4132">
                      <w:pPr>
                        <w:pStyle w:val="ListParagraph"/>
                        <w:numPr>
                          <w:ilvl w:val="0"/>
                          <w:numId w:val="2"/>
                        </w:numPr>
                        <w:rPr>
                          <w:sz w:val="22"/>
                          <w:szCs w:val="22"/>
                        </w:rPr>
                      </w:pPr>
                      <w:r w:rsidRPr="008007B9">
                        <w:rPr>
                          <w:rFonts w:cs="Arial"/>
                          <w:sz w:val="22"/>
                          <w:szCs w:val="22"/>
                          <w:shd w:val="clear" w:color="auto" w:fill="FFFFFF"/>
                        </w:rPr>
                        <w:t xml:space="preserve">Observe how each child learns differently and, with your support, learn how experienced practitioners structure play activities to ensure that learning opportunities are maximised.   </w:t>
                      </w:r>
                    </w:p>
                    <w:p w14:paraId="60F2CD64" w14:textId="77777777" w:rsidR="001E4132" w:rsidRPr="008007B9" w:rsidRDefault="001E4132" w:rsidP="001E4132">
                      <w:pPr>
                        <w:rPr>
                          <w:sz w:val="22"/>
                          <w:szCs w:val="22"/>
                        </w:rPr>
                      </w:pPr>
                    </w:p>
                  </w:txbxContent>
                </v:textbox>
                <w10:wrap type="square"/>
              </v:shape>
            </w:pict>
          </mc:Fallback>
        </mc:AlternateContent>
      </w:r>
    </w:p>
    <w:p w14:paraId="60F2CD3C" w14:textId="77777777" w:rsidR="001E4132" w:rsidRDefault="001E4132" w:rsidP="001E4132">
      <w:pPr>
        <w:pStyle w:val="DeptBullets"/>
        <w:numPr>
          <w:ilvl w:val="0"/>
          <w:numId w:val="0"/>
        </w:numPr>
      </w:pPr>
      <w:r>
        <w:rPr>
          <w:rFonts w:cs="Arial"/>
          <w:noProof/>
          <w:color w:val="001BA0"/>
          <w:sz w:val="20"/>
          <w:lang w:eastAsia="en-GB"/>
        </w:rPr>
        <w:drawing>
          <wp:anchor distT="0" distB="0" distL="114300" distR="114300" simplePos="0" relativeHeight="251663360" behindDoc="1" locked="0" layoutInCell="1" allowOverlap="1" wp14:anchorId="60F2CD56" wp14:editId="60F2CD57">
            <wp:simplePos x="0" y="0"/>
            <wp:positionH relativeFrom="column">
              <wp:posOffset>7386320</wp:posOffset>
            </wp:positionH>
            <wp:positionV relativeFrom="paragraph">
              <wp:posOffset>216535</wp:posOffset>
            </wp:positionV>
            <wp:extent cx="1721485" cy="1590675"/>
            <wp:effectExtent l="0" t="0" r="0" b="9525"/>
            <wp:wrapTight wrapText="bothSides">
              <wp:wrapPolygon edited="0">
                <wp:start x="0" y="0"/>
                <wp:lineTo x="0" y="21471"/>
                <wp:lineTo x="21273" y="21471"/>
                <wp:lineTo x="21273" y="0"/>
                <wp:lineTo x="0" y="0"/>
              </wp:wrapPolygon>
            </wp:wrapTight>
            <wp:docPr id="72" name="Picture 7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arly years free images carto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2148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color w:val="001BA0"/>
          <w:sz w:val="20"/>
          <w:lang w:eastAsia="en-GB"/>
        </w:rPr>
        <w:drawing>
          <wp:anchor distT="0" distB="0" distL="114300" distR="114300" simplePos="0" relativeHeight="251664384" behindDoc="1" locked="0" layoutInCell="1" allowOverlap="1" wp14:anchorId="60F2CD58" wp14:editId="60F2CD59">
            <wp:simplePos x="0" y="0"/>
            <wp:positionH relativeFrom="column">
              <wp:posOffset>7386320</wp:posOffset>
            </wp:positionH>
            <wp:positionV relativeFrom="paragraph">
              <wp:posOffset>216535</wp:posOffset>
            </wp:positionV>
            <wp:extent cx="1721485" cy="1590675"/>
            <wp:effectExtent l="0" t="0" r="0" b="9525"/>
            <wp:wrapTight wrapText="bothSides">
              <wp:wrapPolygon edited="0">
                <wp:start x="0" y="0"/>
                <wp:lineTo x="0" y="21471"/>
                <wp:lineTo x="21273" y="21471"/>
                <wp:lineTo x="21273" y="0"/>
                <wp:lineTo x="0" y="0"/>
              </wp:wrapPolygon>
            </wp:wrapTight>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arly years free images carto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2148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2CD3D" w14:textId="77777777" w:rsidR="001E4132" w:rsidRPr="002A34ED" w:rsidRDefault="001E4132" w:rsidP="001E4132">
      <w:pPr>
        <w:pStyle w:val="DeptBullets"/>
        <w:numPr>
          <w:ilvl w:val="0"/>
          <w:numId w:val="0"/>
        </w:numPr>
      </w:pPr>
    </w:p>
    <w:p w14:paraId="60F2CD3E" w14:textId="77777777" w:rsidR="001E4132" w:rsidRDefault="001E4132" w:rsidP="001E4132">
      <w:pPr>
        <w:pStyle w:val="DeptBullets"/>
        <w:numPr>
          <w:ilvl w:val="0"/>
          <w:numId w:val="0"/>
        </w:numPr>
        <w:rPr>
          <w:b/>
          <w:color w:val="44546A" w:themeColor="text2"/>
          <w:u w:val="single"/>
        </w:rPr>
      </w:pPr>
    </w:p>
    <w:p w14:paraId="60F2CD3F" w14:textId="77777777" w:rsidR="001E4132" w:rsidRDefault="001E4132" w:rsidP="001E4132">
      <w:pPr>
        <w:pStyle w:val="DeptBullets"/>
        <w:numPr>
          <w:ilvl w:val="0"/>
          <w:numId w:val="0"/>
        </w:numPr>
        <w:rPr>
          <w:b/>
          <w:color w:val="44546A" w:themeColor="text2"/>
          <w:u w:val="single"/>
        </w:rPr>
      </w:pPr>
    </w:p>
    <w:p w14:paraId="60F2CD40" w14:textId="77777777" w:rsidR="001E4132" w:rsidRDefault="001E4132" w:rsidP="001E4132">
      <w:pPr>
        <w:pStyle w:val="DeptBullets"/>
        <w:numPr>
          <w:ilvl w:val="0"/>
          <w:numId w:val="0"/>
        </w:numPr>
        <w:rPr>
          <w:b/>
          <w:color w:val="44546A" w:themeColor="text2"/>
          <w:u w:val="single"/>
        </w:rPr>
      </w:pPr>
    </w:p>
    <w:p w14:paraId="60F2CD41" w14:textId="77777777" w:rsidR="001E4132" w:rsidRDefault="001E4132" w:rsidP="001E4132">
      <w:pPr>
        <w:pStyle w:val="DeptBullets"/>
        <w:numPr>
          <w:ilvl w:val="0"/>
          <w:numId w:val="0"/>
        </w:numPr>
        <w:rPr>
          <w:b/>
          <w:color w:val="44546A" w:themeColor="text2"/>
          <w:u w:val="single"/>
        </w:rPr>
      </w:pPr>
      <w:r>
        <w:rPr>
          <w:b/>
          <w:color w:val="44546A" w:themeColor="text2"/>
          <w:u w:val="single"/>
        </w:rPr>
        <w:t xml:space="preserve">  </w:t>
      </w:r>
    </w:p>
    <w:p w14:paraId="60F2CD42" w14:textId="77777777" w:rsidR="001E4132" w:rsidRDefault="001E4132" w:rsidP="001E4132">
      <w:pPr>
        <w:pStyle w:val="DeptBullets"/>
        <w:numPr>
          <w:ilvl w:val="0"/>
          <w:numId w:val="0"/>
        </w:numPr>
        <w:rPr>
          <w:b/>
          <w:color w:val="44546A" w:themeColor="text2"/>
          <w:u w:val="single"/>
        </w:rPr>
      </w:pPr>
    </w:p>
    <w:p w14:paraId="60F2CD43" w14:textId="77777777" w:rsidR="001E4132" w:rsidRDefault="001E4132" w:rsidP="001E4132">
      <w:pPr>
        <w:pStyle w:val="DeptBullets"/>
        <w:numPr>
          <w:ilvl w:val="0"/>
          <w:numId w:val="0"/>
        </w:numPr>
        <w:rPr>
          <w:b/>
          <w:color w:val="44546A" w:themeColor="text2"/>
          <w:u w:val="single"/>
        </w:rPr>
      </w:pPr>
    </w:p>
    <w:p w14:paraId="60F2CD44" w14:textId="77777777" w:rsidR="001E4132" w:rsidRDefault="001E4132" w:rsidP="001E4132">
      <w:pPr>
        <w:pStyle w:val="DeptBullets"/>
        <w:numPr>
          <w:ilvl w:val="0"/>
          <w:numId w:val="0"/>
        </w:numPr>
        <w:rPr>
          <w:b/>
          <w:color w:val="44546A" w:themeColor="text2"/>
          <w:u w:val="single"/>
        </w:rPr>
      </w:pPr>
      <w:r w:rsidRPr="008F2C75">
        <w:rPr>
          <w:b/>
          <w:noProof/>
          <w:color w:val="44546A" w:themeColor="text2"/>
          <w:u w:val="single"/>
          <w:lang w:eastAsia="en-GB"/>
        </w:rPr>
        <mc:AlternateContent>
          <mc:Choice Requires="wps">
            <w:drawing>
              <wp:anchor distT="45720" distB="45720" distL="114300" distR="114300" simplePos="0" relativeHeight="251660288" behindDoc="0" locked="0" layoutInCell="1" allowOverlap="1" wp14:anchorId="60F2CD5A" wp14:editId="13CE4656">
                <wp:simplePos x="0" y="0"/>
                <wp:positionH relativeFrom="margin">
                  <wp:posOffset>971550</wp:posOffset>
                </wp:positionH>
                <wp:positionV relativeFrom="paragraph">
                  <wp:posOffset>227965</wp:posOffset>
                </wp:positionV>
                <wp:extent cx="8405495" cy="2933700"/>
                <wp:effectExtent l="0" t="0" r="1460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5495" cy="293370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0F2CD65" w14:textId="77777777" w:rsidR="001E4132" w:rsidRPr="00176AA1" w:rsidRDefault="001E4132" w:rsidP="001E4132">
                            <w:pPr>
                              <w:pStyle w:val="DeptBullets"/>
                              <w:numPr>
                                <w:ilvl w:val="0"/>
                                <w:numId w:val="0"/>
                              </w:numPr>
                              <w:spacing w:after="0"/>
                              <w:rPr>
                                <w:rFonts w:cs="Arial"/>
                                <w:b/>
                                <w:sz w:val="22"/>
                                <w:szCs w:val="22"/>
                              </w:rPr>
                            </w:pPr>
                            <w:r w:rsidRPr="00176AA1">
                              <w:rPr>
                                <w:rFonts w:cs="Arial"/>
                                <w:b/>
                                <w:sz w:val="22"/>
                                <w:szCs w:val="22"/>
                              </w:rPr>
                              <w:t>Opportunities for Progression:</w:t>
                            </w:r>
                          </w:p>
                          <w:p w14:paraId="60F2CD66" w14:textId="77777777" w:rsidR="001E4132" w:rsidRPr="00176AA1" w:rsidRDefault="001E4132" w:rsidP="001E4132">
                            <w:pPr>
                              <w:pStyle w:val="DeptBullets"/>
                              <w:numPr>
                                <w:ilvl w:val="0"/>
                                <w:numId w:val="0"/>
                              </w:numPr>
                              <w:spacing w:after="0"/>
                              <w:rPr>
                                <w:rFonts w:cs="Arial"/>
                                <w:sz w:val="22"/>
                                <w:szCs w:val="22"/>
                              </w:rPr>
                            </w:pPr>
                            <w:r w:rsidRPr="00176AA1">
                              <w:rPr>
                                <w:rFonts w:cs="Arial"/>
                                <w:sz w:val="22"/>
                                <w:szCs w:val="22"/>
                              </w:rPr>
                              <w:t xml:space="preserve">Consider taking an early years qualification by doing a college based course with a work placement or a work based course with on the job training and assessment. Your local college or training provider will be able to provide more information about training, qualifications and funding. You should check that the qualification you are intending to do is approved by the Department for Education please visit: </w:t>
                            </w:r>
                            <w:hyperlink r:id="rId8" w:anchor="content" w:history="1">
                              <w:r>
                                <w:rPr>
                                  <w:rStyle w:val="Hyperlink"/>
                                  <w:rFonts w:eastAsiaTheme="majorEastAsia" w:cs="Arial"/>
                                  <w:sz w:val="22"/>
                                  <w:szCs w:val="22"/>
                                </w:rPr>
                                <w:t xml:space="preserve">Early Years Qualifications Finder </w:t>
                              </w:r>
                            </w:hyperlink>
                          </w:p>
                          <w:p w14:paraId="60F2CD67" w14:textId="77777777" w:rsidR="001E4132" w:rsidRDefault="001E4132" w:rsidP="001E4132">
                            <w:pPr>
                              <w:pStyle w:val="DeptBullets"/>
                              <w:numPr>
                                <w:ilvl w:val="0"/>
                                <w:numId w:val="0"/>
                              </w:numPr>
                              <w:spacing w:after="0"/>
                              <w:rPr>
                                <w:rFonts w:cs="Arial"/>
                                <w:sz w:val="22"/>
                                <w:szCs w:val="22"/>
                              </w:rPr>
                            </w:pPr>
                          </w:p>
                          <w:p w14:paraId="60F2CD68" w14:textId="77777777" w:rsidR="001E4132" w:rsidRPr="00176AA1" w:rsidRDefault="001E4132" w:rsidP="001E4132">
                            <w:pPr>
                              <w:pStyle w:val="DeptBullets"/>
                              <w:numPr>
                                <w:ilvl w:val="0"/>
                                <w:numId w:val="0"/>
                              </w:numPr>
                              <w:spacing w:after="0"/>
                              <w:rPr>
                                <w:rFonts w:cs="Arial"/>
                                <w:sz w:val="22"/>
                                <w:szCs w:val="22"/>
                              </w:rPr>
                            </w:pPr>
                            <w:r w:rsidRPr="00176AA1">
                              <w:rPr>
                                <w:rFonts w:cs="Arial"/>
                                <w:sz w:val="22"/>
                                <w:szCs w:val="22"/>
                              </w:rPr>
                              <w:t xml:space="preserve">Or  </w:t>
                            </w:r>
                          </w:p>
                          <w:p w14:paraId="60F2CD69" w14:textId="77777777" w:rsidR="001E4132" w:rsidRDefault="001E4132" w:rsidP="001E4132">
                            <w:pPr>
                              <w:pStyle w:val="NormalWeb"/>
                              <w:spacing w:before="0" w:beforeAutospacing="0" w:after="0" w:afterAutospacing="0"/>
                              <w:rPr>
                                <w:rFonts w:ascii="Arial" w:hAnsi="Arial" w:cs="Arial"/>
                                <w:sz w:val="22"/>
                                <w:szCs w:val="22"/>
                              </w:rPr>
                            </w:pPr>
                          </w:p>
                          <w:p w14:paraId="60F2CD6A" w14:textId="6B6CFB46" w:rsidR="001E4132" w:rsidRDefault="001E4132" w:rsidP="001E4132">
                            <w:pPr>
                              <w:pStyle w:val="NormalWeb"/>
                              <w:spacing w:before="0" w:beforeAutospacing="0" w:after="0" w:afterAutospacing="0"/>
                              <w:rPr>
                                <w:rFonts w:ascii="Arial" w:hAnsi="Arial" w:cs="Arial"/>
                                <w:sz w:val="22"/>
                                <w:szCs w:val="22"/>
                              </w:rPr>
                            </w:pPr>
                            <w:r w:rsidRPr="00176AA1">
                              <w:rPr>
                                <w:rFonts w:ascii="Arial" w:hAnsi="Arial" w:cs="Arial"/>
                                <w:sz w:val="22"/>
                                <w:szCs w:val="22"/>
                              </w:rPr>
                              <w:t xml:space="preserve">Apply to be an apprentice. </w:t>
                            </w:r>
                            <w:r w:rsidRPr="00176AA1">
                              <w:rPr>
                                <w:rFonts w:ascii="Arial" w:hAnsi="Arial" w:cs="Arial"/>
                                <w:color w:val="404040"/>
                                <w:sz w:val="22"/>
                                <w:szCs w:val="22"/>
                              </w:rPr>
                              <w:t xml:space="preserve">Apprenticeships are paid jobs with training, allowing you to earn while you learn without having to pay for your training or qualifications. </w:t>
                            </w:r>
                            <w:r w:rsidRPr="00176AA1">
                              <w:rPr>
                                <w:rFonts w:ascii="Arial" w:hAnsi="Arial" w:cs="Arial"/>
                                <w:sz w:val="22"/>
                                <w:szCs w:val="22"/>
                              </w:rPr>
                              <w:t xml:space="preserve">There are apprenticeships available at Intermediate (level 2) and Advanced level (level 3). For further information and to find an apprenticeship visit: </w:t>
                            </w:r>
                            <w:hyperlink r:id="rId9" w:history="1">
                              <w:r w:rsidRPr="00176AA1">
                                <w:rPr>
                                  <w:rStyle w:val="Hyperlink"/>
                                  <w:rFonts w:ascii="Arial" w:hAnsi="Arial" w:cs="Arial"/>
                                  <w:sz w:val="22"/>
                                  <w:szCs w:val="22"/>
                                </w:rPr>
                                <w:t>https://www.getingofar.gov.uk/</w:t>
                              </w:r>
                            </w:hyperlink>
                            <w:r w:rsidRPr="00176AA1">
                              <w:rPr>
                                <w:rFonts w:ascii="Arial" w:hAnsi="Arial" w:cs="Arial"/>
                                <w:sz w:val="22"/>
                                <w:szCs w:val="22"/>
                              </w:rPr>
                              <w:t xml:space="preserve"> </w:t>
                            </w:r>
                          </w:p>
                          <w:p w14:paraId="4EF0A8CF" w14:textId="0188FB20" w:rsidR="001272F3" w:rsidRDefault="001272F3" w:rsidP="001E4132">
                            <w:pPr>
                              <w:pStyle w:val="NormalWeb"/>
                              <w:spacing w:before="0" w:beforeAutospacing="0" w:after="0" w:afterAutospacing="0"/>
                              <w:rPr>
                                <w:rFonts w:ascii="Arial" w:hAnsi="Arial" w:cs="Arial"/>
                                <w:sz w:val="22"/>
                                <w:szCs w:val="22"/>
                              </w:rPr>
                            </w:pPr>
                          </w:p>
                          <w:p w14:paraId="7F1699A4" w14:textId="117EE9D2" w:rsidR="001272F3" w:rsidRPr="001272F3" w:rsidRDefault="001272F3" w:rsidP="001E4132">
                            <w:pPr>
                              <w:pStyle w:val="NormalWeb"/>
                              <w:spacing w:before="0" w:beforeAutospacing="0" w:after="0" w:afterAutospacing="0"/>
                              <w:rPr>
                                <w:rFonts w:ascii="Arial" w:hAnsi="Arial" w:cs="Arial"/>
                                <w:sz w:val="22"/>
                                <w:szCs w:val="22"/>
                              </w:rPr>
                            </w:pPr>
                            <w:r w:rsidRPr="001272F3">
                              <w:rPr>
                                <w:rFonts w:ascii="Arial" w:hAnsi="Arial" w:cs="Arial"/>
                                <w:sz w:val="22"/>
                                <w:szCs w:val="22"/>
                                <w:lang w:eastAsia="en-US"/>
                              </w:rPr>
                              <w:t xml:space="preserve">For careers information, visit </w:t>
                            </w:r>
                            <w:hyperlink r:id="rId10" w:history="1">
                              <w:r w:rsidRPr="001272F3">
                                <w:rPr>
                                  <w:rStyle w:val="Hyperlink"/>
                                  <w:rFonts w:ascii="Arial" w:hAnsi="Arial" w:cs="Arial"/>
                                  <w:sz w:val="22"/>
                                  <w:szCs w:val="22"/>
                                  <w:lang w:eastAsia="en-US"/>
                                </w:rPr>
                                <w:t>nationalcareersservice.direct.gov.uk</w:t>
                              </w:r>
                            </w:hyperlink>
                            <w:r w:rsidRPr="001272F3">
                              <w:rPr>
                                <w:rFonts w:ascii="Arial" w:hAnsi="Arial" w:cs="Arial"/>
                                <w:sz w:val="22"/>
                                <w:szCs w:val="22"/>
                                <w:lang w:eastAsia="en-US"/>
                              </w:rPr>
                              <w:t xml:space="preserve"> or call 0800 100 900</w:t>
                            </w:r>
                          </w:p>
                          <w:p w14:paraId="60F2CD6B" w14:textId="77777777" w:rsidR="001E4132" w:rsidRPr="00176AA1" w:rsidRDefault="001E4132" w:rsidP="001E4132">
                            <w:pPr>
                              <w:pStyle w:val="DeptBullets"/>
                              <w:numPr>
                                <w:ilvl w:val="0"/>
                                <w:numId w:val="0"/>
                              </w:numPr>
                              <w:spacing w:after="0"/>
                              <w:rPr>
                                <w:rFonts w:cs="Arial"/>
                                <w:sz w:val="22"/>
                                <w:szCs w:val="22"/>
                              </w:rPr>
                            </w:pPr>
                          </w:p>
                          <w:p w14:paraId="60F2CD6C" w14:textId="70C3A476" w:rsidR="001E4132" w:rsidRDefault="001E4132" w:rsidP="001E4132">
                            <w:pPr>
                              <w:pStyle w:val="DeptBullets"/>
                              <w:numPr>
                                <w:ilvl w:val="0"/>
                                <w:numId w:val="0"/>
                              </w:numPr>
                              <w:rPr>
                                <w:rStyle w:val="Hyperlink"/>
                                <w:rFonts w:eastAsiaTheme="majorEastAsia" w:cs="Arial"/>
                                <w:sz w:val="22"/>
                                <w:szCs w:val="22"/>
                              </w:rPr>
                            </w:pPr>
                            <w:r w:rsidRPr="00176AA1">
                              <w:rPr>
                                <w:rFonts w:cs="Arial"/>
                                <w:sz w:val="22"/>
                                <w:szCs w:val="22"/>
                              </w:rPr>
                              <w:t xml:space="preserve">For other training and development courses please visit: </w:t>
                            </w:r>
                            <w:hyperlink r:id="rId11" w:history="1">
                              <w:r w:rsidRPr="00176AA1">
                                <w:rPr>
                                  <w:rStyle w:val="Hyperlink"/>
                                  <w:rFonts w:eastAsiaTheme="majorEastAsia" w:cs="Arial"/>
                                  <w:sz w:val="22"/>
                                  <w:szCs w:val="22"/>
                                </w:rPr>
                                <w:t>http://eyupskill.org.uk/</w:t>
                              </w:r>
                            </w:hyperlink>
                          </w:p>
                          <w:p w14:paraId="1C89404D" w14:textId="38543DAD" w:rsidR="001272F3" w:rsidRDefault="001272F3" w:rsidP="001E4132">
                            <w:pPr>
                              <w:pStyle w:val="DeptBullets"/>
                              <w:numPr>
                                <w:ilvl w:val="0"/>
                                <w:numId w:val="0"/>
                              </w:numPr>
                              <w:rPr>
                                <w:rStyle w:val="Hyperlink"/>
                                <w:rFonts w:eastAsiaTheme="majorEastAsia" w:cs="Arial"/>
                                <w:sz w:val="22"/>
                                <w:szCs w:val="22"/>
                              </w:rPr>
                            </w:pPr>
                          </w:p>
                          <w:p w14:paraId="12CEF5D5" w14:textId="77777777" w:rsidR="001272F3" w:rsidRPr="00176AA1" w:rsidRDefault="001272F3" w:rsidP="001E4132">
                            <w:pPr>
                              <w:pStyle w:val="DeptBullets"/>
                              <w:numPr>
                                <w:ilvl w:val="0"/>
                                <w:numId w:val="0"/>
                              </w:numPr>
                              <w:rPr>
                                <w:rFonts w:cs="Arial"/>
                                <w:sz w:val="22"/>
                                <w:szCs w:val="22"/>
                              </w:rPr>
                            </w:pPr>
                          </w:p>
                          <w:p w14:paraId="60F2CD6D" w14:textId="77777777" w:rsidR="001E4132" w:rsidRDefault="001E4132" w:rsidP="001E41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2CD5A" id="Text Box 4" o:spid="_x0000_s1028" type="#_x0000_t176" style="position:absolute;margin-left:76.5pt;margin-top:17.95pt;width:661.85pt;height:23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" fillcolor="white [3201]" strokecolor="#4472c4 [3208]" strokeweight="1pt">
                <v:textbox>
                  <w:txbxContent>
                    <w:p w14:paraId="60F2CD65" w14:textId="77777777" w:rsidR="001E4132" w:rsidRPr="00176AA1" w:rsidRDefault="001E4132" w:rsidP="001E4132">
                      <w:pPr>
                        <w:pStyle w:val="DeptBullets"/>
                        <w:numPr>
                          <w:ilvl w:val="0"/>
                          <w:numId w:val="0"/>
                        </w:numPr>
                        <w:spacing w:after="0"/>
                        <w:rPr>
                          <w:rFonts w:cs="Arial"/>
                          <w:b/>
                          <w:sz w:val="22"/>
                          <w:szCs w:val="22"/>
                        </w:rPr>
                      </w:pPr>
                      <w:r w:rsidRPr="00176AA1">
                        <w:rPr>
                          <w:rFonts w:cs="Arial"/>
                          <w:b/>
                          <w:sz w:val="22"/>
                          <w:szCs w:val="22"/>
                        </w:rPr>
                        <w:t>Opportunities for Progression:</w:t>
                      </w:r>
                    </w:p>
                    <w:p w14:paraId="60F2CD66" w14:textId="77777777" w:rsidR="001E4132" w:rsidRPr="00176AA1" w:rsidRDefault="001E4132" w:rsidP="001E4132">
                      <w:pPr>
                        <w:pStyle w:val="DeptBullets"/>
                        <w:numPr>
                          <w:ilvl w:val="0"/>
                          <w:numId w:val="0"/>
                        </w:numPr>
                        <w:spacing w:after="0"/>
                        <w:rPr>
                          <w:rFonts w:cs="Arial"/>
                          <w:sz w:val="22"/>
                          <w:szCs w:val="22"/>
                        </w:rPr>
                      </w:pPr>
                      <w:r w:rsidRPr="00176AA1">
                        <w:rPr>
                          <w:rFonts w:cs="Arial"/>
                          <w:sz w:val="22"/>
                          <w:szCs w:val="22"/>
                        </w:rPr>
                        <w:t xml:space="preserve">Consider taking an early years qualification by doing a college based course with a work placement or a work based course with on the job training and assessment. Your local college or training provider will be able to provide more information about training, qualifications and funding. You should check that the qualification you are intending to do is approved by the Department for Education please visit: </w:t>
                      </w:r>
                      <w:hyperlink r:id="rId12" w:anchor="content" w:history="1">
                        <w:r>
                          <w:rPr>
                            <w:rStyle w:val="Hyperlink"/>
                            <w:rFonts w:eastAsiaTheme="majorEastAsia" w:cs="Arial"/>
                            <w:sz w:val="22"/>
                            <w:szCs w:val="22"/>
                          </w:rPr>
                          <w:t xml:space="preserve">Early Years Qualifications Finder </w:t>
                        </w:r>
                      </w:hyperlink>
                    </w:p>
                    <w:p w14:paraId="60F2CD67" w14:textId="77777777" w:rsidR="001E4132" w:rsidRDefault="001E4132" w:rsidP="001E4132">
                      <w:pPr>
                        <w:pStyle w:val="DeptBullets"/>
                        <w:numPr>
                          <w:ilvl w:val="0"/>
                          <w:numId w:val="0"/>
                        </w:numPr>
                        <w:spacing w:after="0"/>
                        <w:rPr>
                          <w:rFonts w:cs="Arial"/>
                          <w:sz w:val="22"/>
                          <w:szCs w:val="22"/>
                        </w:rPr>
                      </w:pPr>
                    </w:p>
                    <w:p w14:paraId="60F2CD68" w14:textId="77777777" w:rsidR="001E4132" w:rsidRPr="00176AA1" w:rsidRDefault="001E4132" w:rsidP="001E4132">
                      <w:pPr>
                        <w:pStyle w:val="DeptBullets"/>
                        <w:numPr>
                          <w:ilvl w:val="0"/>
                          <w:numId w:val="0"/>
                        </w:numPr>
                        <w:spacing w:after="0"/>
                        <w:rPr>
                          <w:rFonts w:cs="Arial"/>
                          <w:sz w:val="22"/>
                          <w:szCs w:val="22"/>
                        </w:rPr>
                      </w:pPr>
                      <w:r w:rsidRPr="00176AA1">
                        <w:rPr>
                          <w:rFonts w:cs="Arial"/>
                          <w:sz w:val="22"/>
                          <w:szCs w:val="22"/>
                        </w:rPr>
                        <w:t xml:space="preserve">Or  </w:t>
                      </w:r>
                    </w:p>
                    <w:p w14:paraId="60F2CD69" w14:textId="77777777" w:rsidR="001E4132" w:rsidRDefault="001E4132" w:rsidP="001E4132">
                      <w:pPr>
                        <w:pStyle w:val="NormalWeb"/>
                        <w:spacing w:before="0" w:beforeAutospacing="0" w:after="0" w:afterAutospacing="0"/>
                        <w:rPr>
                          <w:rFonts w:ascii="Arial" w:hAnsi="Arial" w:cs="Arial"/>
                          <w:sz w:val="22"/>
                          <w:szCs w:val="22"/>
                        </w:rPr>
                      </w:pPr>
                    </w:p>
                    <w:p w14:paraId="60F2CD6A" w14:textId="6B6CFB46" w:rsidR="001E4132" w:rsidRDefault="001E4132" w:rsidP="001E4132">
                      <w:pPr>
                        <w:pStyle w:val="NormalWeb"/>
                        <w:spacing w:before="0" w:beforeAutospacing="0" w:after="0" w:afterAutospacing="0"/>
                        <w:rPr>
                          <w:rFonts w:ascii="Arial" w:hAnsi="Arial" w:cs="Arial"/>
                          <w:sz w:val="22"/>
                          <w:szCs w:val="22"/>
                        </w:rPr>
                      </w:pPr>
                      <w:r w:rsidRPr="00176AA1">
                        <w:rPr>
                          <w:rFonts w:ascii="Arial" w:hAnsi="Arial" w:cs="Arial"/>
                          <w:sz w:val="22"/>
                          <w:szCs w:val="22"/>
                        </w:rPr>
                        <w:t xml:space="preserve">Apply to be an apprentice. </w:t>
                      </w:r>
                      <w:r w:rsidRPr="00176AA1">
                        <w:rPr>
                          <w:rFonts w:ascii="Arial" w:hAnsi="Arial" w:cs="Arial"/>
                          <w:color w:val="404040"/>
                          <w:sz w:val="22"/>
                          <w:szCs w:val="22"/>
                        </w:rPr>
                        <w:t xml:space="preserve">Apprenticeships are paid jobs with training, allowing you to earn while you learn without having to pay for your training or qualifications. </w:t>
                      </w:r>
                      <w:r w:rsidRPr="00176AA1">
                        <w:rPr>
                          <w:rFonts w:ascii="Arial" w:hAnsi="Arial" w:cs="Arial"/>
                          <w:sz w:val="22"/>
                          <w:szCs w:val="22"/>
                        </w:rPr>
                        <w:t xml:space="preserve">There are apprenticeships available at Intermediate (level 2) and Advanced level (level 3). For further information and to find an apprenticeship visit: </w:t>
                      </w:r>
                      <w:hyperlink r:id="rId13" w:history="1">
                        <w:r w:rsidRPr="00176AA1">
                          <w:rPr>
                            <w:rStyle w:val="Hyperlink"/>
                            <w:rFonts w:ascii="Arial" w:hAnsi="Arial" w:cs="Arial"/>
                            <w:sz w:val="22"/>
                            <w:szCs w:val="22"/>
                          </w:rPr>
                          <w:t>https://www.getingofar.gov.uk/</w:t>
                        </w:r>
                      </w:hyperlink>
                      <w:r w:rsidRPr="00176AA1">
                        <w:rPr>
                          <w:rFonts w:ascii="Arial" w:hAnsi="Arial" w:cs="Arial"/>
                          <w:sz w:val="22"/>
                          <w:szCs w:val="22"/>
                        </w:rPr>
                        <w:t xml:space="preserve"> </w:t>
                      </w:r>
                    </w:p>
                    <w:p w14:paraId="4EF0A8CF" w14:textId="0188FB20" w:rsidR="001272F3" w:rsidRDefault="001272F3" w:rsidP="001E4132">
                      <w:pPr>
                        <w:pStyle w:val="NormalWeb"/>
                        <w:spacing w:before="0" w:beforeAutospacing="0" w:after="0" w:afterAutospacing="0"/>
                        <w:rPr>
                          <w:rFonts w:ascii="Arial" w:hAnsi="Arial" w:cs="Arial"/>
                          <w:sz w:val="22"/>
                          <w:szCs w:val="22"/>
                        </w:rPr>
                      </w:pPr>
                    </w:p>
                    <w:p w14:paraId="7F1699A4" w14:textId="117EE9D2" w:rsidR="001272F3" w:rsidRPr="001272F3" w:rsidRDefault="001272F3" w:rsidP="001E4132">
                      <w:pPr>
                        <w:pStyle w:val="NormalWeb"/>
                        <w:spacing w:before="0" w:beforeAutospacing="0" w:after="0" w:afterAutospacing="0"/>
                        <w:rPr>
                          <w:rFonts w:ascii="Arial" w:hAnsi="Arial" w:cs="Arial"/>
                          <w:sz w:val="22"/>
                          <w:szCs w:val="22"/>
                        </w:rPr>
                      </w:pPr>
                      <w:r w:rsidRPr="001272F3">
                        <w:rPr>
                          <w:rFonts w:ascii="Arial" w:hAnsi="Arial" w:cs="Arial"/>
                          <w:sz w:val="22"/>
                          <w:szCs w:val="22"/>
                          <w:lang w:eastAsia="en-US"/>
                        </w:rPr>
                        <w:t xml:space="preserve">For careers information, visit </w:t>
                      </w:r>
                      <w:hyperlink r:id="rId14" w:history="1">
                        <w:r w:rsidRPr="001272F3">
                          <w:rPr>
                            <w:rStyle w:val="Hyperlink"/>
                            <w:rFonts w:ascii="Arial" w:hAnsi="Arial" w:cs="Arial"/>
                            <w:sz w:val="22"/>
                            <w:szCs w:val="22"/>
                            <w:lang w:eastAsia="en-US"/>
                          </w:rPr>
                          <w:t>nationalcareersservice.direct.gov.uk</w:t>
                        </w:r>
                      </w:hyperlink>
                      <w:r w:rsidRPr="001272F3">
                        <w:rPr>
                          <w:rFonts w:ascii="Arial" w:hAnsi="Arial" w:cs="Arial"/>
                          <w:sz w:val="22"/>
                          <w:szCs w:val="22"/>
                          <w:lang w:eastAsia="en-US"/>
                        </w:rPr>
                        <w:t xml:space="preserve"> or call 0800 100 900</w:t>
                      </w:r>
                    </w:p>
                    <w:p w14:paraId="60F2CD6B" w14:textId="77777777" w:rsidR="001E4132" w:rsidRPr="00176AA1" w:rsidRDefault="001E4132" w:rsidP="001E4132">
                      <w:pPr>
                        <w:pStyle w:val="DeptBullets"/>
                        <w:numPr>
                          <w:ilvl w:val="0"/>
                          <w:numId w:val="0"/>
                        </w:numPr>
                        <w:spacing w:after="0"/>
                        <w:rPr>
                          <w:rFonts w:cs="Arial"/>
                          <w:sz w:val="22"/>
                          <w:szCs w:val="22"/>
                        </w:rPr>
                      </w:pPr>
                    </w:p>
                    <w:p w14:paraId="60F2CD6C" w14:textId="70C3A476" w:rsidR="001E4132" w:rsidRDefault="001E4132" w:rsidP="001E4132">
                      <w:pPr>
                        <w:pStyle w:val="DeptBullets"/>
                        <w:numPr>
                          <w:ilvl w:val="0"/>
                          <w:numId w:val="0"/>
                        </w:numPr>
                        <w:rPr>
                          <w:rStyle w:val="Hyperlink"/>
                          <w:rFonts w:eastAsiaTheme="majorEastAsia" w:cs="Arial"/>
                          <w:sz w:val="22"/>
                          <w:szCs w:val="22"/>
                        </w:rPr>
                      </w:pPr>
                      <w:r w:rsidRPr="00176AA1">
                        <w:rPr>
                          <w:rFonts w:cs="Arial"/>
                          <w:sz w:val="22"/>
                          <w:szCs w:val="22"/>
                        </w:rPr>
                        <w:t xml:space="preserve">For other training and development courses please visit: </w:t>
                      </w:r>
                      <w:hyperlink r:id="rId15" w:history="1">
                        <w:r w:rsidRPr="00176AA1">
                          <w:rPr>
                            <w:rStyle w:val="Hyperlink"/>
                            <w:rFonts w:eastAsiaTheme="majorEastAsia" w:cs="Arial"/>
                            <w:sz w:val="22"/>
                            <w:szCs w:val="22"/>
                          </w:rPr>
                          <w:t>http://eyupskill.org.uk/</w:t>
                        </w:r>
                      </w:hyperlink>
                    </w:p>
                    <w:p w14:paraId="1C89404D" w14:textId="38543DAD" w:rsidR="001272F3" w:rsidRDefault="001272F3" w:rsidP="001E4132">
                      <w:pPr>
                        <w:pStyle w:val="DeptBullets"/>
                        <w:numPr>
                          <w:ilvl w:val="0"/>
                          <w:numId w:val="0"/>
                        </w:numPr>
                        <w:rPr>
                          <w:rStyle w:val="Hyperlink"/>
                          <w:rFonts w:eastAsiaTheme="majorEastAsia" w:cs="Arial"/>
                          <w:sz w:val="22"/>
                          <w:szCs w:val="22"/>
                        </w:rPr>
                      </w:pPr>
                    </w:p>
                    <w:p w14:paraId="12CEF5D5" w14:textId="77777777" w:rsidR="001272F3" w:rsidRPr="00176AA1" w:rsidRDefault="001272F3" w:rsidP="001E4132">
                      <w:pPr>
                        <w:pStyle w:val="DeptBullets"/>
                        <w:numPr>
                          <w:ilvl w:val="0"/>
                          <w:numId w:val="0"/>
                        </w:numPr>
                        <w:rPr>
                          <w:rFonts w:cs="Arial"/>
                          <w:sz w:val="22"/>
                          <w:szCs w:val="22"/>
                        </w:rPr>
                      </w:pPr>
                    </w:p>
                    <w:p w14:paraId="60F2CD6D" w14:textId="77777777" w:rsidR="001E4132" w:rsidRDefault="001E4132" w:rsidP="001E4132"/>
                  </w:txbxContent>
                </v:textbox>
                <w10:wrap type="square" anchorx="margin"/>
              </v:shape>
            </w:pict>
          </mc:Fallback>
        </mc:AlternateContent>
      </w:r>
    </w:p>
    <w:p w14:paraId="60F2CD45" w14:textId="77777777" w:rsidR="001E4132" w:rsidRDefault="001E4132" w:rsidP="001E4132"/>
    <w:p w14:paraId="60F2CD46" w14:textId="77777777" w:rsidR="001E4132" w:rsidRDefault="001E4132" w:rsidP="001E4132"/>
    <w:p w14:paraId="60F2CD47" w14:textId="77777777" w:rsidR="001E4132" w:rsidRDefault="001E4132" w:rsidP="001E4132">
      <w:pPr>
        <w:pStyle w:val="NormalWeb"/>
        <w:shd w:val="clear" w:color="auto" w:fill="FFFFFF"/>
        <w:spacing w:before="0" w:beforeAutospacing="0" w:after="0" w:afterAutospacing="0"/>
        <w:rPr>
          <w:rFonts w:ascii="Arial" w:hAnsi="Arial" w:cs="Arial"/>
          <w:b/>
          <w:sz w:val="28"/>
          <w:szCs w:val="28"/>
          <w:shd w:val="clear" w:color="auto" w:fill="FFFFFF"/>
        </w:rPr>
      </w:pPr>
    </w:p>
    <w:p w14:paraId="60F2CD48" w14:textId="77777777" w:rsidR="001E4132" w:rsidRDefault="001E4132" w:rsidP="001E4132">
      <w:pPr>
        <w:pStyle w:val="NormalWeb"/>
        <w:shd w:val="clear" w:color="auto" w:fill="FFFFFF"/>
        <w:spacing w:before="0" w:beforeAutospacing="0" w:after="0" w:afterAutospacing="0"/>
      </w:pPr>
    </w:p>
    <w:p w14:paraId="60F2CD49" w14:textId="77777777" w:rsidR="001E4132" w:rsidRDefault="001E4132" w:rsidP="001E4132">
      <w:pPr>
        <w:pStyle w:val="NormalWeb"/>
        <w:shd w:val="clear" w:color="auto" w:fill="FFFFFF"/>
        <w:spacing w:before="0" w:beforeAutospacing="0" w:after="0" w:afterAutospacing="0"/>
      </w:pPr>
    </w:p>
    <w:p w14:paraId="60F2CD4A" w14:textId="77777777" w:rsidR="001E4132" w:rsidRDefault="001E4132" w:rsidP="001E4132">
      <w:pPr>
        <w:pStyle w:val="NormalWeb"/>
        <w:shd w:val="clear" w:color="auto" w:fill="FFFFFF"/>
        <w:spacing w:before="0" w:beforeAutospacing="0" w:after="0" w:afterAutospacing="0"/>
      </w:pPr>
    </w:p>
    <w:p w14:paraId="60F2CD4B" w14:textId="77777777" w:rsidR="001E4132" w:rsidRDefault="001E4132" w:rsidP="001E4132">
      <w:pPr>
        <w:pStyle w:val="NormalWeb"/>
        <w:shd w:val="clear" w:color="auto" w:fill="FFFFFF"/>
        <w:spacing w:before="0" w:beforeAutospacing="0" w:after="0" w:afterAutospacing="0"/>
      </w:pPr>
    </w:p>
    <w:p w14:paraId="60F2CD4C" w14:textId="77777777" w:rsidR="001E4132" w:rsidRDefault="001E4132" w:rsidP="001E4132">
      <w:pPr>
        <w:pStyle w:val="NormalWeb"/>
        <w:shd w:val="clear" w:color="auto" w:fill="FFFFFF"/>
        <w:spacing w:before="0" w:beforeAutospacing="0" w:after="0" w:afterAutospacing="0"/>
      </w:pPr>
    </w:p>
    <w:p w14:paraId="60F2CD4D" w14:textId="77777777" w:rsidR="001E4132" w:rsidRDefault="001E4132" w:rsidP="001E4132">
      <w:pPr>
        <w:pStyle w:val="NormalWeb"/>
        <w:shd w:val="clear" w:color="auto" w:fill="FFFFFF"/>
        <w:spacing w:before="0" w:beforeAutospacing="0" w:after="0" w:afterAutospacing="0"/>
      </w:pPr>
    </w:p>
    <w:p w14:paraId="60F2CD4E" w14:textId="77777777" w:rsidR="001E4132" w:rsidRDefault="001E4132" w:rsidP="001E4132">
      <w:pPr>
        <w:pStyle w:val="NormalWeb"/>
        <w:shd w:val="clear" w:color="auto" w:fill="FFFFFF"/>
        <w:spacing w:before="0" w:beforeAutospacing="0" w:after="0" w:afterAutospacing="0"/>
      </w:pPr>
    </w:p>
    <w:p w14:paraId="60F2CD4F" w14:textId="77777777" w:rsidR="001E4132" w:rsidRDefault="001E4132" w:rsidP="001E4132">
      <w:pPr>
        <w:pStyle w:val="NormalWeb"/>
        <w:shd w:val="clear" w:color="auto" w:fill="FFFFFF"/>
        <w:spacing w:before="0" w:beforeAutospacing="0" w:after="0" w:afterAutospacing="0"/>
      </w:pPr>
    </w:p>
    <w:p w14:paraId="60F2CD50" w14:textId="77777777" w:rsidR="001E4132" w:rsidRDefault="001E4132" w:rsidP="001E4132">
      <w:pPr>
        <w:pStyle w:val="NormalWeb"/>
        <w:shd w:val="clear" w:color="auto" w:fill="FFFFFF"/>
        <w:spacing w:before="0" w:beforeAutospacing="0" w:after="0" w:afterAutospacing="0"/>
      </w:pPr>
    </w:p>
    <w:p w14:paraId="60F2CD51" w14:textId="77777777" w:rsidR="00E71632" w:rsidRDefault="00E71632"/>
    <w:sectPr w:rsidR="00E71632" w:rsidSect="001272F3">
      <w:pgSz w:w="16838" w:h="11906" w:orient="landscape"/>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073"/>
    <w:multiLevelType w:val="hybridMultilevel"/>
    <w:tmpl w:val="7A6622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ECE3F05"/>
    <w:multiLevelType w:val="multilevel"/>
    <w:tmpl w:val="804C65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2"/>
    <w:rsid w:val="000F4FE8"/>
    <w:rsid w:val="001272F3"/>
    <w:rsid w:val="001E4132"/>
    <w:rsid w:val="003E474B"/>
    <w:rsid w:val="00E71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CD3A"/>
  <w15:chartTrackingRefBased/>
  <w15:docId w15:val="{B9872FE4-3C80-49E9-A40B-083E3F2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3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link w:val="DeptBulletsChar"/>
    <w:rsid w:val="001E4132"/>
    <w:pPr>
      <w:numPr>
        <w:numId w:val="1"/>
      </w:numPr>
      <w:spacing w:after="240"/>
    </w:pPr>
  </w:style>
  <w:style w:type="paragraph" w:styleId="NormalWeb">
    <w:name w:val="Normal (Web)"/>
    <w:basedOn w:val="Normal"/>
    <w:link w:val="NormalWebChar"/>
    <w:uiPriority w:val="99"/>
    <w:unhideWhenUsed/>
    <w:rsid w:val="001E413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NormalWebChar">
    <w:name w:val="Normal (Web) Char"/>
    <w:basedOn w:val="DefaultParagraphFont"/>
    <w:link w:val="NormalWeb"/>
    <w:uiPriority w:val="99"/>
    <w:rsid w:val="001E4132"/>
    <w:rPr>
      <w:rFonts w:ascii="Times New Roman" w:hAnsi="Times New Roman" w:cs="Times New Roman"/>
      <w:sz w:val="24"/>
      <w:szCs w:val="24"/>
      <w:lang w:eastAsia="en-GB"/>
    </w:rPr>
  </w:style>
  <w:style w:type="character" w:styleId="Hyperlink">
    <w:name w:val="Hyperlink"/>
    <w:basedOn w:val="DefaultParagraphFont"/>
    <w:uiPriority w:val="99"/>
    <w:unhideWhenUsed/>
    <w:rsid w:val="001E4132"/>
    <w:rPr>
      <w:color w:val="0563C1"/>
      <w:u w:val="single"/>
    </w:rPr>
  </w:style>
  <w:style w:type="character" w:customStyle="1" w:styleId="DeptBulletsChar">
    <w:name w:val="DeptBullets Char"/>
    <w:basedOn w:val="DefaultParagraphFont"/>
    <w:link w:val="DeptBullets"/>
    <w:rsid w:val="001E4132"/>
    <w:rPr>
      <w:rFonts w:ascii="Arial" w:eastAsia="Times New Roman" w:hAnsi="Arial" w:cs="Times New Roman"/>
      <w:sz w:val="24"/>
      <w:szCs w:val="20"/>
    </w:rPr>
  </w:style>
  <w:style w:type="paragraph" w:styleId="ListParagraph">
    <w:name w:val="List Paragraph"/>
    <w:basedOn w:val="Normal"/>
    <w:link w:val="ListParagraphChar"/>
    <w:uiPriority w:val="34"/>
    <w:qFormat/>
    <w:rsid w:val="001E4132"/>
    <w:pPr>
      <w:ind w:left="720"/>
      <w:contextualSpacing/>
    </w:pPr>
  </w:style>
  <w:style w:type="character" w:customStyle="1" w:styleId="ListParagraphChar">
    <w:name w:val="List Paragraph Char"/>
    <w:basedOn w:val="DefaultParagraphFont"/>
    <w:link w:val="ListParagraph"/>
    <w:uiPriority w:val="34"/>
    <w:rsid w:val="001E4132"/>
    <w:rPr>
      <w:rFonts w:ascii="Arial" w:eastAsia="Times New Roman" w:hAnsi="Arial" w:cs="Times New Roman"/>
      <w:sz w:val="24"/>
      <w:szCs w:val="20"/>
    </w:rPr>
  </w:style>
  <w:style w:type="paragraph" w:customStyle="1" w:styleId="DfESOutNumbered">
    <w:name w:val="DfESOutNumbered"/>
    <w:basedOn w:val="Normal"/>
    <w:link w:val="DfESOutNumberedChar"/>
    <w:rsid w:val="000F4FE8"/>
    <w:pPr>
      <w:numPr>
        <w:numId w:val="4"/>
      </w:numPr>
      <w:spacing w:after="240"/>
    </w:pPr>
    <w:rPr>
      <w:rFonts w:cs="Arial"/>
      <w:sz w:val="22"/>
    </w:rPr>
  </w:style>
  <w:style w:type="character" w:customStyle="1" w:styleId="DfESOutNumberedChar">
    <w:name w:val="DfESOutNumbered Char"/>
    <w:basedOn w:val="NormalWebChar"/>
    <w:link w:val="DfESOutNumbered"/>
    <w:rsid w:val="000F4FE8"/>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arly-years-qualifications-finder" TargetMode="External"/><Relationship Id="rId13" Type="http://schemas.openxmlformats.org/officeDocument/2006/relationships/hyperlink" Target="https://www.getingofar.gov.uk/"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ov.uk/guidance/early-years-qualifications-fin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ing.com/images/search?view=detailV2&amp;ccid=Hi7Z3qSx&amp;id=C0827405B90C747FF4F7443454DBDB32D37C11CC&amp;thid=OIP.Hi7Z3qSx7oENdB8OZ2ptIQHaFu&amp;mediaurl=http://img01.taopic.com/160111/318762-16011112341397.jpg&amp;exph=500&amp;expw=647&amp;q=early+years+free+images+cartoon&amp;simid=607991857424895588&amp;selectedIndex=545" TargetMode="External"/><Relationship Id="rId11" Type="http://schemas.openxmlformats.org/officeDocument/2006/relationships/hyperlink" Target="http://eyupskill.org.uk/" TargetMode="External"/><Relationship Id="rId5" Type="http://schemas.openxmlformats.org/officeDocument/2006/relationships/webSettings" Target="webSettings.xml"/><Relationship Id="rId15" Type="http://schemas.openxmlformats.org/officeDocument/2006/relationships/hyperlink" Target="http://eyupskill.org.uk/" TargetMode="External"/><Relationship Id="rId10" Type="http://schemas.openxmlformats.org/officeDocument/2006/relationships/hyperlink" Target="https://nationalcareersservice.direct.gov.uk/" TargetMode="External"/><Relationship Id="rId4" Type="http://schemas.openxmlformats.org/officeDocument/2006/relationships/settings" Target="settings.xml"/><Relationship Id="rId9" Type="http://schemas.openxmlformats.org/officeDocument/2006/relationships/hyperlink" Target="https://www.getingofar.gov.uk/" TargetMode="External"/><Relationship Id="rId14" Type="http://schemas.openxmlformats.org/officeDocument/2006/relationships/hyperlink" Target="https://nationalcareersservice.dire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7FF2E-0A2A-4B11-A39B-DD3D261D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RAINBOW, Diane</cp:lastModifiedBy>
  <cp:revision>3</cp:revision>
  <dcterms:created xsi:type="dcterms:W3CDTF">2018-09-10T14:54:00Z</dcterms:created>
  <dcterms:modified xsi:type="dcterms:W3CDTF">2018-09-10T14:56:00Z</dcterms:modified>
</cp:coreProperties>
</file>