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ABE95" w14:textId="77777777" w:rsidR="002A6C5F" w:rsidRPr="0033759B" w:rsidRDefault="002A6C5F" w:rsidP="002A6C5F">
      <w:pPr>
        <w:pStyle w:val="Unittitle"/>
      </w:pPr>
      <w:r>
        <w:t>2.</w:t>
      </w:r>
      <w:r>
        <w:tab/>
        <w:t>People</w:t>
      </w:r>
    </w:p>
    <w:p w14:paraId="5C4F3365" w14:textId="68D0FC16" w:rsidR="00474F67" w:rsidRDefault="00474F67" w:rsidP="00474F67">
      <w:pPr>
        <w:pStyle w:val="Heading1"/>
      </w:pPr>
      <w:r w:rsidRPr="00692A45">
        <w:t xml:space="preserve">Worksheet </w:t>
      </w:r>
      <w:r w:rsidR="00192F27">
        <w:t>4</w:t>
      </w:r>
      <w:r w:rsidRPr="00692A45">
        <w:t xml:space="preserve">: </w:t>
      </w:r>
      <w:bookmarkStart w:id="0" w:name="_Hlk96518337"/>
      <w:r w:rsidR="00D303D2">
        <w:t xml:space="preserve">Performance or </w:t>
      </w:r>
      <w:r w:rsidR="00192F27">
        <w:t>c</w:t>
      </w:r>
      <w:r w:rsidR="00D303D2">
        <w:t xml:space="preserve">apability </w:t>
      </w:r>
      <w:r w:rsidR="00192F27">
        <w:t>p</w:t>
      </w:r>
      <w:r w:rsidR="00D303D2">
        <w:t>rocedure</w:t>
      </w:r>
      <w:r w:rsidRPr="00692A45">
        <w:t xml:space="preserve"> </w:t>
      </w:r>
      <w:bookmarkEnd w:id="0"/>
      <w:r w:rsidRPr="00692A45">
        <w:t>(</w:t>
      </w:r>
      <w:r w:rsidR="00156399">
        <w:t>tutor</w:t>
      </w:r>
      <w:r w:rsidRPr="00692A45">
        <w:t>)</w:t>
      </w:r>
    </w:p>
    <w:p w14:paraId="57BA8EE3" w14:textId="72E4E9C9" w:rsidR="0042328D" w:rsidRDefault="0042328D" w:rsidP="0042328D">
      <w:pPr>
        <w:rPr>
          <w:rFonts w:cs="Arial"/>
        </w:rPr>
      </w:pPr>
      <w:bookmarkStart w:id="1" w:name="_Hlk96518240"/>
      <w:r w:rsidRPr="0042328D">
        <w:rPr>
          <w:rFonts w:cs="Arial"/>
        </w:rPr>
        <w:t>In a short paragraph of 150–250 words</w:t>
      </w:r>
      <w:r w:rsidR="00F668F6">
        <w:rPr>
          <w:rFonts w:cs="Arial"/>
        </w:rPr>
        <w:t>,</w:t>
      </w:r>
      <w:r w:rsidRPr="0042328D">
        <w:rPr>
          <w:rFonts w:cs="Arial"/>
        </w:rPr>
        <w:t xml:space="preserve"> outline the main differences between dismissal due to </w:t>
      </w:r>
      <w:r w:rsidR="00F668F6">
        <w:rPr>
          <w:rFonts w:cs="Arial"/>
        </w:rPr>
        <w:t>‘p</w:t>
      </w:r>
      <w:r w:rsidRPr="0042328D">
        <w:rPr>
          <w:rFonts w:cs="Arial"/>
        </w:rPr>
        <w:t>erformance</w:t>
      </w:r>
      <w:r w:rsidR="00F668F6">
        <w:rPr>
          <w:rFonts w:cs="Arial"/>
        </w:rPr>
        <w:t>’</w:t>
      </w:r>
      <w:r w:rsidRPr="0042328D">
        <w:rPr>
          <w:rFonts w:cs="Arial"/>
        </w:rPr>
        <w:t xml:space="preserve"> and dismissal due to </w:t>
      </w:r>
      <w:r w:rsidR="00F668F6">
        <w:rPr>
          <w:rFonts w:cs="Arial"/>
        </w:rPr>
        <w:t>‘c</w:t>
      </w:r>
      <w:r w:rsidRPr="0042328D">
        <w:rPr>
          <w:rFonts w:cs="Arial"/>
        </w:rPr>
        <w:t>apability</w:t>
      </w:r>
      <w:r w:rsidR="00F668F6">
        <w:rPr>
          <w:rFonts w:cs="Arial"/>
        </w:rPr>
        <w:t>’</w:t>
      </w:r>
      <w:r w:rsidRPr="0042328D">
        <w:rPr>
          <w:rFonts w:cs="Arial"/>
        </w:rPr>
        <w:t>. Offer a hypothetical example of each</w:t>
      </w:r>
      <w:r w:rsidR="00F668F6">
        <w:rPr>
          <w:rFonts w:cs="Arial"/>
        </w:rPr>
        <w:t>.</w:t>
      </w:r>
    </w:p>
    <w:bookmarkEnd w:id="1"/>
    <w:p w14:paraId="06B8593C" w14:textId="69440AC4" w:rsidR="0042328D" w:rsidRDefault="0042328D" w:rsidP="0042328D">
      <w:pPr>
        <w:rPr>
          <w:rFonts w:cs="Arial"/>
        </w:rPr>
      </w:pPr>
    </w:p>
    <w:p w14:paraId="47051B6A" w14:textId="20AE1E35" w:rsidR="003365BF" w:rsidRPr="003365BF" w:rsidRDefault="003365BF" w:rsidP="0042328D">
      <w:pPr>
        <w:rPr>
          <w:rFonts w:cs="Arial"/>
          <w:color w:val="FF0000"/>
        </w:rPr>
      </w:pPr>
      <w:r w:rsidRPr="003365BF">
        <w:rPr>
          <w:rFonts w:cs="Arial"/>
          <w:color w:val="FF0000"/>
        </w:rPr>
        <w:t xml:space="preserve">Performance: </w:t>
      </w:r>
    </w:p>
    <w:p w14:paraId="6D7A1A3F" w14:textId="5E4DB82D" w:rsidR="003365BF" w:rsidRPr="003365BF" w:rsidRDefault="003365BF" w:rsidP="003365BF">
      <w:pPr>
        <w:pStyle w:val="ListParagraph"/>
        <w:numPr>
          <w:ilvl w:val="0"/>
          <w:numId w:val="36"/>
        </w:numPr>
        <w:rPr>
          <w:rFonts w:ascii="Arial" w:eastAsia="Cambria" w:hAnsi="Arial" w:cs="Arial"/>
          <w:color w:val="FF0000"/>
          <w:szCs w:val="24"/>
        </w:rPr>
      </w:pPr>
      <w:r>
        <w:rPr>
          <w:rFonts w:ascii="Arial" w:eastAsia="Cambria" w:hAnsi="Arial" w:cs="Arial"/>
          <w:color w:val="FF0000"/>
          <w:szCs w:val="24"/>
        </w:rPr>
        <w:t>R</w:t>
      </w:r>
      <w:r w:rsidRPr="003365BF">
        <w:rPr>
          <w:rFonts w:ascii="Arial" w:eastAsia="Cambria" w:hAnsi="Arial" w:cs="Arial"/>
          <w:color w:val="FF0000"/>
          <w:szCs w:val="24"/>
        </w:rPr>
        <w:t>efers</w:t>
      </w:r>
      <w:r w:rsidR="0042328D" w:rsidRPr="003365BF">
        <w:rPr>
          <w:rFonts w:ascii="Arial" w:eastAsia="Cambria" w:hAnsi="Arial" w:cs="Arial"/>
          <w:color w:val="FF0000"/>
          <w:szCs w:val="24"/>
        </w:rPr>
        <w:t xml:space="preserve"> to work outcomes</w:t>
      </w:r>
      <w:r>
        <w:rPr>
          <w:rFonts w:ascii="Arial" w:eastAsia="Cambria" w:hAnsi="Arial" w:cs="Arial"/>
          <w:color w:val="FF0000"/>
          <w:szCs w:val="24"/>
        </w:rPr>
        <w:t>.</w:t>
      </w:r>
    </w:p>
    <w:p w14:paraId="42FCD735" w14:textId="105473F2" w:rsidR="0042328D" w:rsidRDefault="003365BF" w:rsidP="003365BF">
      <w:pPr>
        <w:pStyle w:val="ListParagraph"/>
        <w:numPr>
          <w:ilvl w:val="0"/>
          <w:numId w:val="36"/>
        </w:numPr>
        <w:rPr>
          <w:rFonts w:ascii="Arial" w:eastAsia="Cambria" w:hAnsi="Arial" w:cs="Arial"/>
          <w:color w:val="FF0000"/>
          <w:szCs w:val="24"/>
        </w:rPr>
      </w:pPr>
      <w:r>
        <w:rPr>
          <w:rFonts w:ascii="Arial" w:eastAsia="Cambria" w:hAnsi="Arial" w:cs="Arial"/>
          <w:color w:val="FF0000"/>
          <w:szCs w:val="24"/>
        </w:rPr>
        <w:t>O</w:t>
      </w:r>
      <w:r w:rsidRPr="003365BF">
        <w:rPr>
          <w:rFonts w:ascii="Arial" w:eastAsia="Cambria" w:hAnsi="Arial" w:cs="Arial"/>
          <w:color w:val="FF0000"/>
          <w:szCs w:val="24"/>
        </w:rPr>
        <w:t xml:space="preserve">utcomes may not be at the desired level because the employee refuses to work </w:t>
      </w:r>
      <w:r>
        <w:rPr>
          <w:rFonts w:ascii="Arial" w:eastAsia="Cambria" w:hAnsi="Arial" w:cs="Arial"/>
          <w:color w:val="FF0000"/>
          <w:szCs w:val="24"/>
        </w:rPr>
        <w:t xml:space="preserve">within </w:t>
      </w:r>
      <w:r w:rsidRPr="003365BF">
        <w:rPr>
          <w:rFonts w:ascii="Arial" w:eastAsia="Cambria" w:hAnsi="Arial" w:cs="Arial"/>
          <w:color w:val="FF0000"/>
          <w:szCs w:val="24"/>
        </w:rPr>
        <w:t>necessary standards.</w:t>
      </w:r>
    </w:p>
    <w:p w14:paraId="53CB756E" w14:textId="4506ADCE" w:rsidR="003365BF" w:rsidRDefault="003365BF" w:rsidP="003365BF">
      <w:pPr>
        <w:pStyle w:val="ListParagraph"/>
        <w:numPr>
          <w:ilvl w:val="0"/>
          <w:numId w:val="36"/>
        </w:numPr>
        <w:rPr>
          <w:rFonts w:ascii="Arial" w:eastAsia="Cambria" w:hAnsi="Arial" w:cs="Arial"/>
          <w:color w:val="FF0000"/>
          <w:szCs w:val="24"/>
        </w:rPr>
      </w:pPr>
      <w:r>
        <w:rPr>
          <w:rFonts w:ascii="Arial" w:eastAsia="Cambria" w:hAnsi="Arial" w:cs="Arial"/>
          <w:color w:val="FF0000"/>
          <w:szCs w:val="24"/>
        </w:rPr>
        <w:t>In this situation the employer has a legal right to implement disciplinary proceedings.</w:t>
      </w:r>
    </w:p>
    <w:p w14:paraId="2C468610" w14:textId="52E9B10A" w:rsidR="003365BF" w:rsidRDefault="003365BF" w:rsidP="003365BF">
      <w:pPr>
        <w:pStyle w:val="ListParagraph"/>
        <w:numPr>
          <w:ilvl w:val="0"/>
          <w:numId w:val="36"/>
        </w:numPr>
        <w:rPr>
          <w:rFonts w:ascii="Arial" w:eastAsia="Cambria" w:hAnsi="Arial" w:cs="Arial"/>
          <w:color w:val="FF0000"/>
          <w:szCs w:val="24"/>
        </w:rPr>
      </w:pPr>
      <w:r>
        <w:rPr>
          <w:rFonts w:ascii="Arial" w:eastAsia="Cambria" w:hAnsi="Arial" w:cs="Arial"/>
          <w:color w:val="FF0000"/>
          <w:szCs w:val="24"/>
        </w:rPr>
        <w:t xml:space="preserve">The normal approach is to apply ‘performance management’. This process </w:t>
      </w:r>
      <w:r w:rsidR="00F668F6">
        <w:rPr>
          <w:rFonts w:ascii="Arial" w:eastAsia="Cambria" w:hAnsi="Arial" w:cs="Arial"/>
          <w:color w:val="FF0000"/>
          <w:szCs w:val="24"/>
        </w:rPr>
        <w:t>i</w:t>
      </w:r>
      <w:r>
        <w:rPr>
          <w:rFonts w:ascii="Arial" w:eastAsia="Cambria" w:hAnsi="Arial" w:cs="Arial"/>
          <w:color w:val="FF0000"/>
          <w:szCs w:val="24"/>
        </w:rPr>
        <w:t>nvolves tightly defining and closely monitoring the employees’ outputs.</w:t>
      </w:r>
    </w:p>
    <w:p w14:paraId="183387FE" w14:textId="34682981" w:rsidR="003365BF" w:rsidRDefault="003365BF" w:rsidP="003365BF">
      <w:pPr>
        <w:pStyle w:val="ListParagraph"/>
        <w:numPr>
          <w:ilvl w:val="0"/>
          <w:numId w:val="36"/>
        </w:numPr>
        <w:rPr>
          <w:rFonts w:ascii="Arial" w:eastAsia="Cambria" w:hAnsi="Arial" w:cs="Arial"/>
          <w:color w:val="FF0000"/>
          <w:szCs w:val="24"/>
        </w:rPr>
      </w:pPr>
      <w:r>
        <w:rPr>
          <w:rFonts w:ascii="Arial" w:eastAsia="Cambria" w:hAnsi="Arial" w:cs="Arial"/>
          <w:color w:val="FF0000"/>
          <w:szCs w:val="24"/>
        </w:rPr>
        <w:t>If the employee’s performance does not improve</w:t>
      </w:r>
      <w:r w:rsidR="00F668F6">
        <w:rPr>
          <w:rFonts w:ascii="Arial" w:eastAsia="Cambria" w:hAnsi="Arial" w:cs="Arial"/>
          <w:color w:val="FF0000"/>
          <w:szCs w:val="24"/>
        </w:rPr>
        <w:t>,</w:t>
      </w:r>
      <w:r>
        <w:rPr>
          <w:rFonts w:ascii="Arial" w:eastAsia="Cambria" w:hAnsi="Arial" w:cs="Arial"/>
          <w:color w:val="FF0000"/>
          <w:szCs w:val="24"/>
        </w:rPr>
        <w:t xml:space="preserve"> or ultimately does not meet the required standard</w:t>
      </w:r>
      <w:r w:rsidR="00F668F6">
        <w:rPr>
          <w:rFonts w:ascii="Arial" w:eastAsia="Cambria" w:hAnsi="Arial" w:cs="Arial"/>
          <w:color w:val="FF0000"/>
          <w:szCs w:val="24"/>
        </w:rPr>
        <w:t>,</w:t>
      </w:r>
      <w:r>
        <w:rPr>
          <w:rFonts w:ascii="Arial" w:eastAsia="Cambria" w:hAnsi="Arial" w:cs="Arial"/>
          <w:color w:val="FF0000"/>
          <w:szCs w:val="24"/>
        </w:rPr>
        <w:t xml:space="preserve"> they can be dismissed.</w:t>
      </w:r>
    </w:p>
    <w:p w14:paraId="510339F6" w14:textId="45E9EB26" w:rsidR="003365BF" w:rsidRDefault="003365BF" w:rsidP="003365BF">
      <w:pPr>
        <w:pStyle w:val="ListParagraph"/>
        <w:numPr>
          <w:ilvl w:val="0"/>
          <w:numId w:val="36"/>
        </w:numPr>
        <w:rPr>
          <w:rFonts w:ascii="Arial" w:eastAsia="Cambria" w:hAnsi="Arial" w:cs="Arial"/>
          <w:color w:val="FF0000"/>
          <w:szCs w:val="24"/>
        </w:rPr>
      </w:pPr>
      <w:r>
        <w:rPr>
          <w:rFonts w:ascii="Arial" w:eastAsia="Cambria" w:hAnsi="Arial" w:cs="Arial"/>
          <w:color w:val="FF0000"/>
          <w:szCs w:val="24"/>
        </w:rPr>
        <w:t>The normal escalation process goes from ‘verbal warning’ through ‘first written warning’, ‘final written warning’ to dismissal.</w:t>
      </w:r>
    </w:p>
    <w:p w14:paraId="35C34416" w14:textId="6F18BB0D" w:rsidR="0042328D" w:rsidRDefault="003365BF" w:rsidP="0042328D">
      <w:pPr>
        <w:pStyle w:val="ListParagraph"/>
        <w:numPr>
          <w:ilvl w:val="0"/>
          <w:numId w:val="36"/>
        </w:numPr>
        <w:rPr>
          <w:rFonts w:ascii="Arial" w:eastAsia="Cambria" w:hAnsi="Arial" w:cs="Arial"/>
          <w:color w:val="FF0000"/>
          <w:szCs w:val="24"/>
        </w:rPr>
      </w:pPr>
      <w:r>
        <w:rPr>
          <w:rFonts w:ascii="Arial" w:eastAsia="Cambria" w:hAnsi="Arial" w:cs="Arial"/>
          <w:color w:val="FF0000"/>
          <w:szCs w:val="24"/>
        </w:rPr>
        <w:t>Dismissal would be subject to the contractual notice period.</w:t>
      </w:r>
    </w:p>
    <w:p w14:paraId="22CCDAA9" w14:textId="77777777" w:rsidR="00D303D2" w:rsidRPr="00D303D2" w:rsidRDefault="00D303D2" w:rsidP="00D303D2">
      <w:pPr>
        <w:rPr>
          <w:rFonts w:cs="Arial"/>
          <w:color w:val="FF0000"/>
        </w:rPr>
      </w:pPr>
    </w:p>
    <w:p w14:paraId="20E93748" w14:textId="6A0A0229" w:rsidR="0042328D" w:rsidRPr="00F668F6" w:rsidRDefault="00F668F6" w:rsidP="00F668F6">
      <w:pPr>
        <w:rPr>
          <w:rFonts w:cs="Arial"/>
          <w:color w:val="FF0000"/>
        </w:rPr>
      </w:pPr>
      <w:r w:rsidRPr="00F668F6">
        <w:rPr>
          <w:rFonts w:cs="Arial"/>
          <w:color w:val="FF0000"/>
        </w:rPr>
        <w:t>Capability</w:t>
      </w:r>
    </w:p>
    <w:p w14:paraId="06410442" w14:textId="2926EF14" w:rsidR="0042328D" w:rsidRPr="00D303D2" w:rsidRDefault="003365BF" w:rsidP="00D303D2">
      <w:pPr>
        <w:pStyle w:val="ListParagraph"/>
        <w:numPr>
          <w:ilvl w:val="0"/>
          <w:numId w:val="36"/>
        </w:numPr>
        <w:rPr>
          <w:rFonts w:ascii="Arial" w:eastAsia="Cambria" w:hAnsi="Arial" w:cs="Arial"/>
          <w:color w:val="FF0000"/>
          <w:szCs w:val="24"/>
        </w:rPr>
      </w:pPr>
      <w:r w:rsidRPr="00D303D2">
        <w:rPr>
          <w:rFonts w:ascii="Arial" w:eastAsia="Cambria" w:hAnsi="Arial" w:cs="Arial"/>
          <w:color w:val="FF0000"/>
          <w:szCs w:val="24"/>
        </w:rPr>
        <w:t>Employers can dismiss employees based on capability.</w:t>
      </w:r>
    </w:p>
    <w:p w14:paraId="66150C64" w14:textId="1D01C865" w:rsidR="003365BF" w:rsidRPr="00D303D2" w:rsidRDefault="003365BF" w:rsidP="00D303D2">
      <w:pPr>
        <w:pStyle w:val="ListParagraph"/>
        <w:numPr>
          <w:ilvl w:val="0"/>
          <w:numId w:val="36"/>
        </w:numPr>
        <w:rPr>
          <w:rFonts w:ascii="Arial" w:eastAsia="Cambria" w:hAnsi="Arial" w:cs="Arial"/>
          <w:color w:val="FF0000"/>
          <w:szCs w:val="24"/>
        </w:rPr>
      </w:pPr>
      <w:r w:rsidRPr="00D303D2">
        <w:rPr>
          <w:rFonts w:ascii="Arial" w:eastAsia="Cambria" w:hAnsi="Arial" w:cs="Arial"/>
          <w:color w:val="FF0000"/>
          <w:szCs w:val="24"/>
        </w:rPr>
        <w:t>An employee may become incapable through illness or disability</w:t>
      </w:r>
      <w:r w:rsidR="00F668F6">
        <w:rPr>
          <w:rFonts w:ascii="Arial" w:eastAsia="Cambria" w:hAnsi="Arial" w:cs="Arial"/>
          <w:color w:val="FF0000"/>
          <w:szCs w:val="24"/>
        </w:rPr>
        <w:t>.</w:t>
      </w:r>
    </w:p>
    <w:p w14:paraId="253C0574" w14:textId="6F78984B" w:rsidR="003365BF" w:rsidRPr="00D303D2" w:rsidRDefault="00D303D2" w:rsidP="00D303D2">
      <w:pPr>
        <w:pStyle w:val="ListParagraph"/>
        <w:numPr>
          <w:ilvl w:val="0"/>
          <w:numId w:val="36"/>
        </w:numPr>
        <w:rPr>
          <w:rFonts w:ascii="Arial" w:eastAsia="Cambria" w:hAnsi="Arial" w:cs="Arial"/>
          <w:color w:val="FF0000"/>
          <w:szCs w:val="24"/>
        </w:rPr>
      </w:pPr>
      <w:r w:rsidRPr="00D303D2">
        <w:rPr>
          <w:rFonts w:ascii="Arial" w:eastAsia="Cambria" w:hAnsi="Arial" w:cs="Arial"/>
          <w:color w:val="FF0000"/>
          <w:szCs w:val="24"/>
        </w:rPr>
        <w:t>In</w:t>
      </w:r>
      <w:r w:rsidR="003365BF" w:rsidRPr="00D303D2">
        <w:rPr>
          <w:rFonts w:ascii="Arial" w:eastAsia="Cambria" w:hAnsi="Arial" w:cs="Arial"/>
          <w:color w:val="FF0000"/>
          <w:szCs w:val="24"/>
        </w:rPr>
        <w:t xml:space="preserve"> such cases the employer is </w:t>
      </w:r>
      <w:r w:rsidRPr="00D303D2">
        <w:rPr>
          <w:rFonts w:ascii="Arial" w:eastAsia="Cambria" w:hAnsi="Arial" w:cs="Arial"/>
          <w:color w:val="FF0000"/>
          <w:szCs w:val="24"/>
        </w:rPr>
        <w:t>obliged to ma</w:t>
      </w:r>
      <w:r w:rsidR="00F668F6">
        <w:rPr>
          <w:rFonts w:ascii="Arial" w:eastAsia="Cambria" w:hAnsi="Arial" w:cs="Arial"/>
          <w:color w:val="FF0000"/>
          <w:szCs w:val="24"/>
        </w:rPr>
        <w:t>ke</w:t>
      </w:r>
      <w:r w:rsidRPr="00D303D2">
        <w:rPr>
          <w:rFonts w:ascii="Arial" w:eastAsia="Cambria" w:hAnsi="Arial" w:cs="Arial"/>
          <w:color w:val="FF0000"/>
          <w:szCs w:val="24"/>
        </w:rPr>
        <w:t xml:space="preserve"> reasonable adjustments that recognise the employee</w:t>
      </w:r>
      <w:r w:rsidR="00F668F6">
        <w:rPr>
          <w:rFonts w:ascii="Arial" w:eastAsia="Cambria" w:hAnsi="Arial" w:cs="Arial"/>
          <w:color w:val="FF0000"/>
          <w:szCs w:val="24"/>
        </w:rPr>
        <w:t>’</w:t>
      </w:r>
      <w:r w:rsidRPr="00D303D2">
        <w:rPr>
          <w:rFonts w:ascii="Arial" w:eastAsia="Cambria" w:hAnsi="Arial" w:cs="Arial"/>
          <w:color w:val="FF0000"/>
          <w:szCs w:val="24"/>
        </w:rPr>
        <w:t>s changed circumstances</w:t>
      </w:r>
      <w:r w:rsidR="00F668F6">
        <w:rPr>
          <w:rFonts w:ascii="Arial" w:eastAsia="Cambria" w:hAnsi="Arial" w:cs="Arial"/>
          <w:color w:val="FF0000"/>
          <w:szCs w:val="24"/>
        </w:rPr>
        <w:t>.</w:t>
      </w:r>
    </w:p>
    <w:p w14:paraId="28E56B1D" w14:textId="7BD574C4" w:rsidR="00D303D2" w:rsidRPr="00D303D2" w:rsidRDefault="00D303D2" w:rsidP="00D303D2">
      <w:pPr>
        <w:pStyle w:val="ListParagraph"/>
        <w:numPr>
          <w:ilvl w:val="0"/>
          <w:numId w:val="36"/>
        </w:numPr>
        <w:rPr>
          <w:rFonts w:ascii="Arial" w:eastAsia="Cambria" w:hAnsi="Arial" w:cs="Arial"/>
          <w:color w:val="FF0000"/>
          <w:szCs w:val="24"/>
        </w:rPr>
      </w:pPr>
      <w:r w:rsidRPr="00D303D2">
        <w:rPr>
          <w:rFonts w:ascii="Arial" w:eastAsia="Cambria" w:hAnsi="Arial" w:cs="Arial"/>
          <w:color w:val="FF0000"/>
          <w:szCs w:val="24"/>
        </w:rPr>
        <w:t>In case of illness the employer must allow the employee a reasonable amount of time for recovery/recuperation.</w:t>
      </w:r>
    </w:p>
    <w:p w14:paraId="738594BE" w14:textId="77777777" w:rsidR="00D303D2" w:rsidRPr="00D303D2" w:rsidRDefault="00D303D2" w:rsidP="00F668F6">
      <w:pPr>
        <w:pStyle w:val="ListParagraph"/>
        <w:rPr>
          <w:rFonts w:ascii="Arial" w:eastAsia="Cambria" w:hAnsi="Arial" w:cs="Arial"/>
          <w:color w:val="FF0000"/>
          <w:szCs w:val="24"/>
        </w:rPr>
      </w:pPr>
    </w:p>
    <w:p w14:paraId="6563E27C" w14:textId="77777777" w:rsidR="003365BF" w:rsidRPr="003365BF" w:rsidRDefault="003365BF" w:rsidP="00110217">
      <w:pPr>
        <w:rPr>
          <w:rFonts w:cs="Arial"/>
          <w:color w:val="FF0000"/>
        </w:rPr>
      </w:pPr>
    </w:p>
    <w:p w14:paraId="31A633D9" w14:textId="77777777" w:rsidR="0042328D" w:rsidRPr="0042328D" w:rsidRDefault="0042328D" w:rsidP="00110217">
      <w:pPr>
        <w:rPr>
          <w:rFonts w:cs="Arial"/>
          <w:color w:val="FF0000"/>
        </w:rPr>
      </w:pPr>
    </w:p>
    <w:p w14:paraId="1A0745C5" w14:textId="77777777" w:rsidR="00474F67" w:rsidRPr="0042328D" w:rsidRDefault="00474F67" w:rsidP="00474F67">
      <w:pPr>
        <w:rPr>
          <w:rFonts w:cs="Arial"/>
          <w:color w:val="FF0000"/>
        </w:rPr>
      </w:pPr>
    </w:p>
    <w:p w14:paraId="240C67CA" w14:textId="77777777" w:rsidR="006E1028" w:rsidRPr="0042328D" w:rsidRDefault="006E1028" w:rsidP="006E1028">
      <w:pPr>
        <w:pStyle w:val="Answer"/>
        <w:rPr>
          <w:color w:val="FF0000"/>
        </w:rPr>
      </w:pPr>
    </w:p>
    <w:sectPr w:rsidR="006E1028" w:rsidRPr="0042328D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8F2C0" w14:textId="77777777" w:rsidR="005C2E97" w:rsidRDefault="005C2E97">
      <w:pPr>
        <w:spacing w:before="0" w:after="0"/>
      </w:pPr>
      <w:r>
        <w:separator/>
      </w:r>
    </w:p>
  </w:endnote>
  <w:endnote w:type="continuationSeparator" w:id="0">
    <w:p w14:paraId="26390CF1" w14:textId="77777777" w:rsidR="005C2E97" w:rsidRDefault="005C2E9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A24F3" w14:textId="77777777" w:rsidR="00FB3D34" w:rsidRDefault="00FB3D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EFDE209" w:rsidR="00110217" w:rsidRPr="00F03E33" w:rsidRDefault="00410331" w:rsidP="00FB3D3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6736EB75" wp14:editId="28192369">
          <wp:simplePos x="0" y="0"/>
          <wp:positionH relativeFrom="margin">
            <wp:posOffset>5555615</wp:posOffset>
          </wp:positionH>
          <wp:positionV relativeFrom="margin">
            <wp:posOffset>8461375</wp:posOffset>
          </wp:positionV>
          <wp:extent cx="530225" cy="322580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B75387">
      <w:t xml:space="preserve">   </w:t>
    </w:r>
    <w:r w:rsidR="00FB3D34">
      <w:t xml:space="preserve"> </w:t>
    </w:r>
    <w:r w:rsidR="00900BBC">
      <w:t xml:space="preserve">               © </w:t>
    </w:r>
    <w:r w:rsidR="00900BBC" w:rsidRPr="00C11273">
      <w:t>City &amp; Guilds Limited</w:t>
    </w:r>
    <w:r w:rsidR="00900BBC">
      <w:t xml:space="preserve">. </w:t>
    </w:r>
    <w:r w:rsidR="00FB3D34">
      <w:t>All rights reserved.</w:t>
    </w:r>
    <w:r w:rsidR="00FB3D34">
      <w:br/>
    </w:r>
    <w:r w:rsidR="00FB3D34">
      <w:rPr>
        <w:rFonts w:eastAsia="Calibri"/>
        <w:noProof/>
      </w:rPr>
      <w:t xml:space="preserve">                                      ‘T-LEVELS’ is a registered trade mark of the Department for Education.</w:t>
    </w:r>
    <w:r w:rsidR="00FB3D34">
      <w:rPr>
        <w:rFonts w:eastAsia="Calibri"/>
        <w:noProof/>
      </w:rPr>
      <w:br/>
      <w:t xml:space="preserve">    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3109D" w14:textId="77777777" w:rsidR="00FB3D34" w:rsidRDefault="00FB3D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F0956" w14:textId="77777777" w:rsidR="005C2E97" w:rsidRDefault="005C2E97">
      <w:pPr>
        <w:spacing w:before="0" w:after="0"/>
      </w:pPr>
      <w:r>
        <w:separator/>
      </w:r>
    </w:p>
  </w:footnote>
  <w:footnote w:type="continuationSeparator" w:id="0">
    <w:p w14:paraId="186A15B8" w14:textId="77777777" w:rsidR="005C2E97" w:rsidRDefault="005C2E9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89D2D" w14:textId="77777777" w:rsidR="00FB3D34" w:rsidRDefault="00FB3D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22D2A7A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F668F6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1AC1E" w14:textId="77777777" w:rsidR="00FB3D34" w:rsidRDefault="00FB3D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580D14"/>
    <w:multiLevelType w:val="hybridMultilevel"/>
    <w:tmpl w:val="D61464C6"/>
    <w:lvl w:ilvl="0" w:tplc="08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2B3AED"/>
    <w:multiLevelType w:val="hybridMultilevel"/>
    <w:tmpl w:val="C8F2A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F03DB8"/>
    <w:multiLevelType w:val="hybridMultilevel"/>
    <w:tmpl w:val="D2DA9A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3391206">
    <w:abstractNumId w:val="4"/>
  </w:num>
  <w:num w:numId="2" w16cid:durableId="1600940531">
    <w:abstractNumId w:val="15"/>
  </w:num>
  <w:num w:numId="3" w16cid:durableId="1872570455">
    <w:abstractNumId w:val="23"/>
  </w:num>
  <w:num w:numId="4" w16cid:durableId="503597017">
    <w:abstractNumId w:val="17"/>
  </w:num>
  <w:num w:numId="5" w16cid:durableId="1296763666">
    <w:abstractNumId w:val="7"/>
  </w:num>
  <w:num w:numId="6" w16cid:durableId="1391685516">
    <w:abstractNumId w:val="16"/>
  </w:num>
  <w:num w:numId="7" w16cid:durableId="888960563">
    <w:abstractNumId w:val="7"/>
  </w:num>
  <w:num w:numId="8" w16cid:durableId="704643875">
    <w:abstractNumId w:val="1"/>
  </w:num>
  <w:num w:numId="9" w16cid:durableId="459037348">
    <w:abstractNumId w:val="7"/>
    <w:lvlOverride w:ilvl="0">
      <w:startOverride w:val="1"/>
    </w:lvlOverride>
  </w:num>
  <w:num w:numId="10" w16cid:durableId="1690329888">
    <w:abstractNumId w:val="18"/>
  </w:num>
  <w:num w:numId="11" w16cid:durableId="1172332325">
    <w:abstractNumId w:val="14"/>
  </w:num>
  <w:num w:numId="12" w16cid:durableId="463889773">
    <w:abstractNumId w:val="5"/>
  </w:num>
  <w:num w:numId="13" w16cid:durableId="1636641058">
    <w:abstractNumId w:val="13"/>
  </w:num>
  <w:num w:numId="14" w16cid:durableId="838346480">
    <w:abstractNumId w:val="19"/>
  </w:num>
  <w:num w:numId="15" w16cid:durableId="1336615659">
    <w:abstractNumId w:val="11"/>
  </w:num>
  <w:num w:numId="16" w16cid:durableId="216279430">
    <w:abstractNumId w:val="6"/>
  </w:num>
  <w:num w:numId="17" w16cid:durableId="725302158">
    <w:abstractNumId w:val="26"/>
  </w:num>
  <w:num w:numId="18" w16cid:durableId="1154300699">
    <w:abstractNumId w:val="27"/>
  </w:num>
  <w:num w:numId="19" w16cid:durableId="1232736627">
    <w:abstractNumId w:val="3"/>
  </w:num>
  <w:num w:numId="20" w16cid:durableId="1279264290">
    <w:abstractNumId w:val="2"/>
  </w:num>
  <w:num w:numId="21" w16cid:durableId="334192056">
    <w:abstractNumId w:val="9"/>
  </w:num>
  <w:num w:numId="22" w16cid:durableId="710030649">
    <w:abstractNumId w:val="9"/>
    <w:lvlOverride w:ilvl="0">
      <w:startOverride w:val="1"/>
    </w:lvlOverride>
  </w:num>
  <w:num w:numId="23" w16cid:durableId="1343971980">
    <w:abstractNumId w:val="24"/>
  </w:num>
  <w:num w:numId="24" w16cid:durableId="2004239623">
    <w:abstractNumId w:val="9"/>
    <w:lvlOverride w:ilvl="0">
      <w:startOverride w:val="1"/>
    </w:lvlOverride>
  </w:num>
  <w:num w:numId="25" w16cid:durableId="632979134">
    <w:abstractNumId w:val="9"/>
    <w:lvlOverride w:ilvl="0">
      <w:startOverride w:val="1"/>
    </w:lvlOverride>
  </w:num>
  <w:num w:numId="26" w16cid:durableId="550926525">
    <w:abstractNumId w:val="10"/>
  </w:num>
  <w:num w:numId="27" w16cid:durableId="354157412">
    <w:abstractNumId w:val="21"/>
  </w:num>
  <w:num w:numId="28" w16cid:durableId="1927302496">
    <w:abstractNumId w:val="9"/>
    <w:lvlOverride w:ilvl="0">
      <w:startOverride w:val="1"/>
    </w:lvlOverride>
  </w:num>
  <w:num w:numId="29" w16cid:durableId="792602120">
    <w:abstractNumId w:val="22"/>
  </w:num>
  <w:num w:numId="30" w16cid:durableId="1270815475">
    <w:abstractNumId w:val="9"/>
  </w:num>
  <w:num w:numId="31" w16cid:durableId="1830555136">
    <w:abstractNumId w:val="9"/>
    <w:lvlOverride w:ilvl="0">
      <w:startOverride w:val="1"/>
    </w:lvlOverride>
  </w:num>
  <w:num w:numId="32" w16cid:durableId="986471933">
    <w:abstractNumId w:val="9"/>
    <w:lvlOverride w:ilvl="0">
      <w:startOverride w:val="1"/>
    </w:lvlOverride>
  </w:num>
  <w:num w:numId="33" w16cid:durableId="1108740984">
    <w:abstractNumId w:val="0"/>
  </w:num>
  <w:num w:numId="34" w16cid:durableId="15884624">
    <w:abstractNumId w:val="12"/>
  </w:num>
  <w:num w:numId="35" w16cid:durableId="1220164619">
    <w:abstractNumId w:val="8"/>
  </w:num>
  <w:num w:numId="36" w16cid:durableId="1419210999">
    <w:abstractNumId w:val="20"/>
  </w:num>
  <w:num w:numId="37" w16cid:durableId="12996522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772FB"/>
    <w:rsid w:val="00082C62"/>
    <w:rsid w:val="000B231F"/>
    <w:rsid w:val="000E194B"/>
    <w:rsid w:val="00110217"/>
    <w:rsid w:val="00152AC3"/>
    <w:rsid w:val="00156399"/>
    <w:rsid w:val="00156AF3"/>
    <w:rsid w:val="00192F27"/>
    <w:rsid w:val="0019491D"/>
    <w:rsid w:val="001F74AD"/>
    <w:rsid w:val="002A6C5F"/>
    <w:rsid w:val="002B4246"/>
    <w:rsid w:val="002D07A8"/>
    <w:rsid w:val="003365BF"/>
    <w:rsid w:val="003405EA"/>
    <w:rsid w:val="003777AE"/>
    <w:rsid w:val="003B4FF0"/>
    <w:rsid w:val="003F7F14"/>
    <w:rsid w:val="00404B31"/>
    <w:rsid w:val="00410331"/>
    <w:rsid w:val="0042328D"/>
    <w:rsid w:val="00474F67"/>
    <w:rsid w:val="0048500D"/>
    <w:rsid w:val="00497A33"/>
    <w:rsid w:val="00524E1B"/>
    <w:rsid w:val="005C2E97"/>
    <w:rsid w:val="006124C0"/>
    <w:rsid w:val="006135C0"/>
    <w:rsid w:val="006642FD"/>
    <w:rsid w:val="006807B0"/>
    <w:rsid w:val="00691B95"/>
    <w:rsid w:val="006B798A"/>
    <w:rsid w:val="006C710B"/>
    <w:rsid w:val="006D3AA3"/>
    <w:rsid w:val="006D4994"/>
    <w:rsid w:val="006E1028"/>
    <w:rsid w:val="006E19C2"/>
    <w:rsid w:val="006F7BAF"/>
    <w:rsid w:val="00716C55"/>
    <w:rsid w:val="00791077"/>
    <w:rsid w:val="00797FA7"/>
    <w:rsid w:val="008C1F1C"/>
    <w:rsid w:val="008D47A6"/>
    <w:rsid w:val="00900BBC"/>
    <w:rsid w:val="009372F9"/>
    <w:rsid w:val="009975A0"/>
    <w:rsid w:val="009C5C6E"/>
    <w:rsid w:val="00A2454C"/>
    <w:rsid w:val="00A82DCC"/>
    <w:rsid w:val="00AE245C"/>
    <w:rsid w:val="00B054EC"/>
    <w:rsid w:val="00B634AC"/>
    <w:rsid w:val="00B75387"/>
    <w:rsid w:val="00B946AE"/>
    <w:rsid w:val="00BE2C21"/>
    <w:rsid w:val="00C0001A"/>
    <w:rsid w:val="00C01D20"/>
    <w:rsid w:val="00C06474"/>
    <w:rsid w:val="00C202BF"/>
    <w:rsid w:val="00C858D7"/>
    <w:rsid w:val="00C92F19"/>
    <w:rsid w:val="00CC3B85"/>
    <w:rsid w:val="00CE24A4"/>
    <w:rsid w:val="00D073BC"/>
    <w:rsid w:val="00D303D2"/>
    <w:rsid w:val="00D51C40"/>
    <w:rsid w:val="00D56B82"/>
    <w:rsid w:val="00DA2485"/>
    <w:rsid w:val="00DE29A8"/>
    <w:rsid w:val="00E941C9"/>
    <w:rsid w:val="00F03E33"/>
    <w:rsid w:val="00F15749"/>
    <w:rsid w:val="00F42A36"/>
    <w:rsid w:val="00F668F6"/>
    <w:rsid w:val="00F82617"/>
    <w:rsid w:val="00F83FC6"/>
    <w:rsid w:val="00F967EC"/>
    <w:rsid w:val="00FB3D34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2328D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Revision">
    <w:name w:val="Revision"/>
    <w:hidden/>
    <w:semiHidden/>
    <w:rsid w:val="00900BB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10</cp:revision>
  <cp:lastPrinted>2013-05-15T12:05:00Z</cp:lastPrinted>
  <dcterms:created xsi:type="dcterms:W3CDTF">2022-07-20T12:44:00Z</dcterms:created>
  <dcterms:modified xsi:type="dcterms:W3CDTF">2025-11-28T13:36:00Z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